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2070" w14:textId="1FCCC529" w:rsidR="00134FA9" w:rsidRPr="00134FA9" w:rsidRDefault="004964B5" w:rsidP="00134FA9">
      <w:pPr>
        <w:spacing w:before="100"/>
        <w:ind w:right="-16"/>
        <w:jc w:val="center"/>
        <w:rPr>
          <w:rFonts w:ascii="Times New Roman" w:hAnsi="Times New Roman" w:cs="Times New Roman"/>
          <w:b/>
          <w:sz w:val="36"/>
        </w:rPr>
      </w:pPr>
      <w:r>
        <w:rPr>
          <w:rFonts w:ascii="Times New Roman" w:hAnsi="Times New Roman" w:cs="Times New Roman"/>
          <w:b/>
          <w:w w:val="110"/>
          <w:sz w:val="36"/>
        </w:rPr>
        <w:t>Exposure Draft</w:t>
      </w:r>
    </w:p>
    <w:p w14:paraId="15C824E4" w14:textId="7C28904E" w:rsidR="00134FA9" w:rsidRPr="004964B5" w:rsidRDefault="004964B5" w:rsidP="00134FA9">
      <w:pPr>
        <w:spacing w:line="249" w:lineRule="auto"/>
        <w:ind w:right="-16"/>
        <w:jc w:val="center"/>
        <w:rPr>
          <w:rFonts w:ascii="Times New Roman" w:hAnsi="Times New Roman" w:cs="Times New Roman"/>
          <w:i/>
          <w:iCs/>
          <w:w w:val="95"/>
          <w:sz w:val="36"/>
        </w:rPr>
      </w:pPr>
      <w:r w:rsidRPr="004964B5">
        <w:rPr>
          <w:rFonts w:ascii="Times New Roman" w:hAnsi="Times New Roman" w:cs="Times New Roman"/>
          <w:i/>
          <w:iCs/>
          <w:w w:val="95"/>
          <w:sz w:val="36"/>
        </w:rPr>
        <w:t>Third edition of the</w:t>
      </w:r>
      <w:r w:rsidR="00681DA4" w:rsidRPr="004964B5">
        <w:rPr>
          <w:rFonts w:ascii="Times New Roman" w:hAnsi="Times New Roman" w:cs="Times New Roman"/>
          <w:i/>
          <w:iCs/>
          <w:w w:val="95"/>
          <w:sz w:val="36"/>
        </w:rPr>
        <w:t xml:space="preserve"> </w:t>
      </w:r>
      <w:r w:rsidR="00134FA9" w:rsidRPr="004964B5">
        <w:rPr>
          <w:rFonts w:ascii="Times New Roman" w:hAnsi="Times New Roman" w:cs="Times New Roman"/>
          <w:w w:val="95"/>
          <w:sz w:val="36"/>
        </w:rPr>
        <w:t>IFRS for SMEs</w:t>
      </w:r>
      <w:r w:rsidR="00134FA9" w:rsidRPr="004964B5">
        <w:rPr>
          <w:rFonts w:ascii="Times New Roman" w:hAnsi="Times New Roman" w:cs="Times New Roman"/>
          <w:i/>
          <w:iCs/>
          <w:w w:val="95"/>
          <w:sz w:val="36"/>
        </w:rPr>
        <w:t xml:space="preserve"> </w:t>
      </w:r>
      <w:r w:rsidRPr="004964B5">
        <w:rPr>
          <w:rFonts w:ascii="Times New Roman" w:hAnsi="Times New Roman" w:cs="Times New Roman"/>
          <w:i/>
          <w:iCs/>
          <w:w w:val="95"/>
          <w:sz w:val="36"/>
        </w:rPr>
        <w:t>Accounting</w:t>
      </w:r>
      <w:r>
        <w:rPr>
          <w:rFonts w:ascii="Times New Roman" w:hAnsi="Times New Roman" w:cs="Times New Roman"/>
          <w:i/>
          <w:iCs/>
          <w:w w:val="95"/>
          <w:sz w:val="36"/>
        </w:rPr>
        <w:t xml:space="preserve"> </w:t>
      </w:r>
      <w:r w:rsidR="00134FA9" w:rsidRPr="004964B5">
        <w:rPr>
          <w:rFonts w:ascii="Times New Roman" w:hAnsi="Times New Roman" w:cs="Times New Roman"/>
          <w:i/>
          <w:iCs/>
          <w:w w:val="95"/>
          <w:sz w:val="36"/>
        </w:rPr>
        <w:t>Standard</w:t>
      </w:r>
    </w:p>
    <w:p w14:paraId="75CC6D85" w14:textId="54BC48A9" w:rsidR="00BB7C39" w:rsidRPr="002B5B27" w:rsidRDefault="004964B5" w:rsidP="00BB7C39">
      <w:pPr>
        <w:spacing w:before="1" w:line="440" w:lineRule="atLeast"/>
        <w:ind w:right="-16"/>
        <w:jc w:val="center"/>
        <w:rPr>
          <w:rFonts w:ascii="Times New Roman" w:hAnsi="Times New Roman" w:cs="Times New Roman"/>
          <w:iCs/>
          <w:sz w:val="24"/>
        </w:rPr>
      </w:pPr>
      <w:r>
        <w:rPr>
          <w:rFonts w:ascii="Times New Roman" w:hAnsi="Times New Roman" w:cs="Times New Roman"/>
          <w:iCs/>
          <w:sz w:val="24"/>
        </w:rPr>
        <w:t>September</w:t>
      </w:r>
      <w:r w:rsidR="00BB7C39" w:rsidRPr="002B5B27">
        <w:rPr>
          <w:rFonts w:ascii="Times New Roman" w:hAnsi="Times New Roman" w:cs="Times New Roman"/>
          <w:iCs/>
          <w:sz w:val="24"/>
        </w:rPr>
        <w:t xml:space="preserve"> 202</w:t>
      </w:r>
      <w:r>
        <w:rPr>
          <w:rFonts w:ascii="Times New Roman" w:hAnsi="Times New Roman" w:cs="Times New Roman"/>
          <w:iCs/>
          <w:sz w:val="24"/>
        </w:rPr>
        <w:t>2</w:t>
      </w:r>
    </w:p>
    <w:p w14:paraId="315B30A0" w14:textId="598972AF" w:rsidR="006D0312" w:rsidRPr="00134FA9" w:rsidRDefault="004B1A73" w:rsidP="00134FA9">
      <w:pPr>
        <w:spacing w:line="360" w:lineRule="auto"/>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 xml:space="preserve">Optional </w:t>
      </w:r>
      <w:r w:rsidR="0014016F">
        <w:rPr>
          <w:rFonts w:ascii="Times New Roman" w:hAnsi="Times New Roman" w:cs="Times New Roman"/>
          <w:b/>
          <w:bCs/>
          <w:color w:val="000000"/>
          <w:sz w:val="32"/>
          <w:szCs w:val="32"/>
          <w:lang w:val="en-US"/>
        </w:rPr>
        <w:t>R</w:t>
      </w:r>
      <w:r w:rsidR="00F560B7" w:rsidRPr="00134FA9">
        <w:rPr>
          <w:rFonts w:ascii="Times New Roman" w:hAnsi="Times New Roman" w:cs="Times New Roman"/>
          <w:b/>
          <w:bCs/>
          <w:color w:val="000000"/>
          <w:sz w:val="32"/>
          <w:szCs w:val="32"/>
          <w:lang w:val="en-US"/>
        </w:rPr>
        <w:t xml:space="preserve">esponse </w:t>
      </w:r>
      <w:r w:rsidR="0014016F">
        <w:rPr>
          <w:rFonts w:ascii="Times New Roman" w:hAnsi="Times New Roman" w:cs="Times New Roman"/>
          <w:b/>
          <w:bCs/>
          <w:color w:val="000000"/>
          <w:sz w:val="32"/>
          <w:szCs w:val="32"/>
          <w:lang w:val="en-US"/>
        </w:rPr>
        <w:t>D</w:t>
      </w:r>
      <w:r w:rsidR="00F560B7" w:rsidRPr="00134FA9">
        <w:rPr>
          <w:rFonts w:ascii="Times New Roman" w:hAnsi="Times New Roman" w:cs="Times New Roman"/>
          <w:b/>
          <w:bCs/>
          <w:color w:val="000000"/>
          <w:sz w:val="32"/>
          <w:szCs w:val="32"/>
          <w:lang w:val="en-US"/>
        </w:rPr>
        <w:t>ocument</w:t>
      </w:r>
    </w:p>
    <w:p w14:paraId="52ED9881" w14:textId="77777777" w:rsidR="00C33384" w:rsidRDefault="00C33384" w:rsidP="00A539E8">
      <w:pPr>
        <w:spacing w:before="240" w:after="120"/>
        <w:rPr>
          <w:rFonts w:ascii="Times New Roman" w:hAnsi="Times New Roman" w:cs="Times New Roman"/>
          <w:b/>
          <w:sz w:val="24"/>
          <w:szCs w:val="24"/>
        </w:rPr>
      </w:pPr>
      <w:r>
        <w:rPr>
          <w:rFonts w:ascii="Times New Roman" w:hAnsi="Times New Roman" w:cs="Times New Roman"/>
          <w:b/>
          <w:sz w:val="24"/>
          <w:szCs w:val="24"/>
        </w:rPr>
        <w:t>Invitation to comment</w:t>
      </w:r>
    </w:p>
    <w:p w14:paraId="00005EC4" w14:textId="1F0DCA9F" w:rsidR="00C33384" w:rsidRPr="00154F83" w:rsidRDefault="00C33384" w:rsidP="00A539E8">
      <w:pPr>
        <w:spacing w:before="120" w:after="120"/>
        <w:rPr>
          <w:rFonts w:ascii="Times New Roman" w:hAnsi="Times New Roman" w:cs="Times New Roman"/>
          <w:sz w:val="24"/>
          <w:szCs w:val="24"/>
        </w:rPr>
      </w:pPr>
      <w:r>
        <w:rPr>
          <w:rFonts w:ascii="Times New Roman" w:hAnsi="Times New Roman" w:cs="Times New Roman"/>
          <w:sz w:val="24"/>
          <w:szCs w:val="24"/>
        </w:rPr>
        <w:t xml:space="preserve">The </w:t>
      </w:r>
      <w:r w:rsidR="00A4470E">
        <w:rPr>
          <w:rFonts w:ascii="Times New Roman" w:hAnsi="Times New Roman" w:cs="Times New Roman"/>
          <w:sz w:val="24"/>
          <w:szCs w:val="24"/>
        </w:rPr>
        <w:t>International Accounting Standards Board (</w:t>
      </w:r>
      <w:r>
        <w:rPr>
          <w:rFonts w:ascii="Times New Roman" w:hAnsi="Times New Roman" w:cs="Times New Roman"/>
          <w:sz w:val="24"/>
          <w:szCs w:val="24"/>
        </w:rPr>
        <w:t>IASB</w:t>
      </w:r>
      <w:r w:rsidR="00A4470E">
        <w:rPr>
          <w:rFonts w:ascii="Times New Roman" w:hAnsi="Times New Roman" w:cs="Times New Roman"/>
          <w:sz w:val="24"/>
          <w:szCs w:val="24"/>
        </w:rPr>
        <w:t>)</w:t>
      </w:r>
      <w:r>
        <w:rPr>
          <w:rFonts w:ascii="Times New Roman" w:hAnsi="Times New Roman" w:cs="Times New Roman"/>
          <w:sz w:val="24"/>
          <w:szCs w:val="24"/>
        </w:rPr>
        <w:t xml:space="preserve"> invites comments on Exposure Draft </w:t>
      </w:r>
      <w:r>
        <w:rPr>
          <w:rFonts w:ascii="Times New Roman" w:hAnsi="Times New Roman" w:cs="Times New Roman"/>
          <w:i/>
          <w:iCs/>
          <w:sz w:val="24"/>
          <w:szCs w:val="24"/>
        </w:rPr>
        <w:t xml:space="preserve">Third edition of the </w:t>
      </w:r>
      <w:r>
        <w:rPr>
          <w:rFonts w:ascii="Times New Roman" w:hAnsi="Times New Roman" w:cs="Times New Roman"/>
          <w:sz w:val="24"/>
          <w:szCs w:val="24"/>
        </w:rPr>
        <w:t xml:space="preserve">IFRS for SMEs </w:t>
      </w:r>
      <w:r>
        <w:rPr>
          <w:rFonts w:ascii="Times New Roman" w:hAnsi="Times New Roman" w:cs="Times New Roman"/>
          <w:i/>
          <w:iCs/>
          <w:sz w:val="24"/>
          <w:szCs w:val="24"/>
        </w:rPr>
        <w:t xml:space="preserve">Accounting Standard, </w:t>
      </w:r>
      <w:r>
        <w:rPr>
          <w:rFonts w:ascii="Times New Roman" w:hAnsi="Times New Roman" w:cs="Times New Roman"/>
          <w:sz w:val="24"/>
          <w:szCs w:val="24"/>
        </w:rPr>
        <w:t>particularly on questions 1–15</w:t>
      </w:r>
      <w:r w:rsidR="00A73406">
        <w:rPr>
          <w:rFonts w:ascii="Times New Roman" w:hAnsi="Times New Roman" w:cs="Times New Roman"/>
          <w:sz w:val="24"/>
          <w:szCs w:val="24"/>
        </w:rPr>
        <w:t xml:space="preserve"> in the Invitation to Comment on the Exposure Draft</w:t>
      </w:r>
      <w:r>
        <w:rPr>
          <w:rFonts w:ascii="Times New Roman" w:hAnsi="Times New Roman" w:cs="Times New Roman"/>
          <w:sz w:val="24"/>
          <w:szCs w:val="24"/>
        </w:rPr>
        <w:t xml:space="preserve">. </w:t>
      </w:r>
      <w:r w:rsidRPr="00154F83">
        <w:rPr>
          <w:rFonts w:ascii="Times New Roman" w:hAnsi="Times New Roman" w:cs="Times New Roman"/>
          <w:sz w:val="24"/>
          <w:szCs w:val="24"/>
        </w:rPr>
        <w:t>Comments are most helpful if they:</w:t>
      </w:r>
    </w:p>
    <w:p w14:paraId="294026C6" w14:textId="77777777" w:rsidR="00C33384" w:rsidRPr="00154F83" w:rsidRDefault="00C33384" w:rsidP="00C33384">
      <w:pPr>
        <w:pStyle w:val="ListParagraph"/>
        <w:widowControl w:val="0"/>
        <w:numPr>
          <w:ilvl w:val="0"/>
          <w:numId w:val="45"/>
        </w:numPr>
        <w:autoSpaceDE w:val="0"/>
        <w:autoSpaceDN w:val="0"/>
        <w:spacing w:before="120" w:after="120" w:line="240" w:lineRule="auto"/>
        <w:ind w:left="567" w:right="811" w:hanging="567"/>
        <w:contextualSpacing w:val="0"/>
        <w:jc w:val="both"/>
        <w:rPr>
          <w:rFonts w:ascii="Times New Roman" w:hAnsi="Times New Roman" w:cs="Times New Roman"/>
          <w:sz w:val="24"/>
          <w:szCs w:val="24"/>
        </w:rPr>
      </w:pPr>
      <w:r w:rsidRPr="00154F83">
        <w:rPr>
          <w:rFonts w:ascii="Times New Roman" w:hAnsi="Times New Roman" w:cs="Times New Roman"/>
          <w:sz w:val="24"/>
          <w:szCs w:val="24"/>
        </w:rPr>
        <w:t>respond to the questions as stated;</w:t>
      </w:r>
    </w:p>
    <w:p w14:paraId="1D1C3BCC" w14:textId="77777777" w:rsidR="00C33384" w:rsidRPr="00154F83" w:rsidRDefault="00C33384" w:rsidP="00C33384">
      <w:pPr>
        <w:pStyle w:val="ListParagraph"/>
        <w:widowControl w:val="0"/>
        <w:numPr>
          <w:ilvl w:val="0"/>
          <w:numId w:val="45"/>
        </w:numPr>
        <w:autoSpaceDE w:val="0"/>
        <w:autoSpaceDN w:val="0"/>
        <w:spacing w:before="120" w:after="120" w:line="240" w:lineRule="auto"/>
        <w:ind w:left="567" w:right="811" w:hanging="567"/>
        <w:contextualSpacing w:val="0"/>
        <w:jc w:val="both"/>
        <w:rPr>
          <w:rFonts w:ascii="Times New Roman" w:hAnsi="Times New Roman" w:cs="Times New Roman"/>
          <w:sz w:val="24"/>
          <w:szCs w:val="24"/>
        </w:rPr>
      </w:pPr>
      <w:r w:rsidRPr="00154F83">
        <w:rPr>
          <w:rFonts w:ascii="Times New Roman" w:hAnsi="Times New Roman" w:cs="Times New Roman"/>
          <w:sz w:val="24"/>
          <w:szCs w:val="24"/>
        </w:rPr>
        <w:t>specify the paragraph(s) to which they relate;</w:t>
      </w:r>
    </w:p>
    <w:p w14:paraId="5F2EB568" w14:textId="77777777" w:rsidR="00C33384" w:rsidRPr="00154F83" w:rsidRDefault="00C33384" w:rsidP="00C33384">
      <w:pPr>
        <w:pStyle w:val="ListParagraph"/>
        <w:widowControl w:val="0"/>
        <w:numPr>
          <w:ilvl w:val="0"/>
          <w:numId w:val="45"/>
        </w:numPr>
        <w:autoSpaceDE w:val="0"/>
        <w:autoSpaceDN w:val="0"/>
        <w:spacing w:before="120" w:after="120" w:line="240" w:lineRule="auto"/>
        <w:ind w:left="567" w:right="811" w:hanging="567"/>
        <w:contextualSpacing w:val="0"/>
        <w:jc w:val="both"/>
        <w:rPr>
          <w:rFonts w:ascii="Times New Roman" w:hAnsi="Times New Roman" w:cs="Times New Roman"/>
          <w:sz w:val="24"/>
          <w:szCs w:val="16"/>
        </w:rPr>
      </w:pPr>
      <w:r w:rsidRPr="00154F83">
        <w:rPr>
          <w:rFonts w:ascii="Times New Roman" w:hAnsi="Times New Roman" w:cs="Times New Roman"/>
          <w:sz w:val="24"/>
          <w:szCs w:val="16"/>
        </w:rPr>
        <w:t>contain a clear rationale;</w:t>
      </w:r>
    </w:p>
    <w:p w14:paraId="1DF24EBE" w14:textId="77777777" w:rsidR="00C33384" w:rsidRPr="00154F83" w:rsidRDefault="00C33384" w:rsidP="00C33384">
      <w:pPr>
        <w:pStyle w:val="ListParagraph"/>
        <w:widowControl w:val="0"/>
        <w:numPr>
          <w:ilvl w:val="0"/>
          <w:numId w:val="45"/>
        </w:numPr>
        <w:autoSpaceDE w:val="0"/>
        <w:autoSpaceDN w:val="0"/>
        <w:spacing w:before="120" w:after="120" w:line="240" w:lineRule="auto"/>
        <w:ind w:left="567" w:right="811" w:hanging="567"/>
        <w:contextualSpacing w:val="0"/>
        <w:jc w:val="both"/>
        <w:rPr>
          <w:rFonts w:ascii="Times New Roman" w:hAnsi="Times New Roman" w:cs="Times New Roman"/>
          <w:sz w:val="24"/>
          <w:szCs w:val="16"/>
        </w:rPr>
      </w:pPr>
      <w:r w:rsidRPr="00154F83">
        <w:rPr>
          <w:rFonts w:ascii="Times New Roman" w:hAnsi="Times New Roman" w:cs="Times New Roman"/>
          <w:sz w:val="24"/>
          <w:szCs w:val="16"/>
        </w:rPr>
        <w:t>identify any wording in the proposals that is difficult to translate; and</w:t>
      </w:r>
    </w:p>
    <w:p w14:paraId="73C3A171" w14:textId="77777777" w:rsidR="00C33384" w:rsidRPr="00154F83" w:rsidRDefault="00C33384" w:rsidP="00C33384">
      <w:pPr>
        <w:pStyle w:val="ListParagraph"/>
        <w:widowControl w:val="0"/>
        <w:numPr>
          <w:ilvl w:val="0"/>
          <w:numId w:val="45"/>
        </w:numPr>
        <w:autoSpaceDE w:val="0"/>
        <w:autoSpaceDN w:val="0"/>
        <w:spacing w:before="120" w:after="120" w:line="240" w:lineRule="auto"/>
        <w:ind w:left="567" w:right="811" w:hanging="567"/>
        <w:contextualSpacing w:val="0"/>
        <w:jc w:val="both"/>
        <w:rPr>
          <w:rFonts w:ascii="Times New Roman" w:hAnsi="Times New Roman" w:cs="Times New Roman"/>
          <w:sz w:val="24"/>
          <w:szCs w:val="24"/>
        </w:rPr>
      </w:pPr>
      <w:r w:rsidRPr="00154F83">
        <w:rPr>
          <w:rFonts w:ascii="Times New Roman" w:hAnsi="Times New Roman" w:cs="Times New Roman"/>
          <w:sz w:val="24"/>
          <w:szCs w:val="24"/>
        </w:rPr>
        <w:t>include any alternative approach the IASB should consider, if applicable.</w:t>
      </w:r>
    </w:p>
    <w:p w14:paraId="12654AEF" w14:textId="77777777" w:rsidR="006D0312" w:rsidRPr="00134FA9" w:rsidRDefault="006D0312" w:rsidP="00A539E8">
      <w:pPr>
        <w:spacing w:before="240" w:after="120"/>
        <w:rPr>
          <w:rFonts w:ascii="Times New Roman" w:hAnsi="Times New Roman" w:cs="Times New Roman"/>
          <w:b/>
          <w:sz w:val="24"/>
          <w:szCs w:val="24"/>
        </w:rPr>
      </w:pPr>
      <w:r w:rsidRPr="00134FA9">
        <w:rPr>
          <w:rFonts w:ascii="Times New Roman" w:hAnsi="Times New Roman" w:cs="Times New Roman"/>
          <w:b/>
          <w:sz w:val="24"/>
          <w:szCs w:val="24"/>
        </w:rPr>
        <w:t>Instructions for completion</w:t>
      </w:r>
    </w:p>
    <w:p w14:paraId="7C1642D6" w14:textId="18AA0C8E" w:rsidR="00570EAA" w:rsidRPr="00134FA9" w:rsidRDefault="00F560B7" w:rsidP="00EB4BED">
      <w:pPr>
        <w:rPr>
          <w:rFonts w:ascii="Times New Roman" w:hAnsi="Times New Roman" w:cs="Times New Roman"/>
          <w:sz w:val="24"/>
          <w:szCs w:val="24"/>
        </w:rPr>
      </w:pPr>
      <w:r w:rsidRPr="00134FA9">
        <w:rPr>
          <w:rFonts w:ascii="Times New Roman" w:hAnsi="Times New Roman" w:cs="Times New Roman"/>
          <w:sz w:val="24"/>
          <w:szCs w:val="24"/>
        </w:rPr>
        <w:t xml:space="preserve">The </w:t>
      </w:r>
      <w:r w:rsidR="004964B5">
        <w:rPr>
          <w:rFonts w:ascii="Times New Roman" w:hAnsi="Times New Roman" w:cs="Times New Roman"/>
          <w:sz w:val="24"/>
          <w:szCs w:val="24"/>
        </w:rPr>
        <w:t>IASB</w:t>
      </w:r>
      <w:r w:rsidR="00BA1C4D" w:rsidRPr="00134FA9">
        <w:rPr>
          <w:rFonts w:ascii="Times New Roman" w:hAnsi="Times New Roman" w:cs="Times New Roman"/>
          <w:sz w:val="24"/>
          <w:szCs w:val="24"/>
        </w:rPr>
        <w:t xml:space="preserve"> </w:t>
      </w:r>
      <w:r w:rsidRPr="00134FA9">
        <w:rPr>
          <w:rFonts w:ascii="Times New Roman" w:hAnsi="Times New Roman" w:cs="Times New Roman"/>
          <w:sz w:val="24"/>
          <w:szCs w:val="24"/>
        </w:rPr>
        <w:t xml:space="preserve">has published this separate </w:t>
      </w:r>
      <w:r w:rsidR="00540BB4" w:rsidRPr="00134FA9">
        <w:rPr>
          <w:rFonts w:ascii="Times New Roman" w:hAnsi="Times New Roman" w:cs="Times New Roman"/>
          <w:sz w:val="24"/>
          <w:szCs w:val="24"/>
        </w:rPr>
        <w:t>Microsoft Word</w:t>
      </w:r>
      <w:r w:rsidR="00540BB4" w:rsidRPr="00134FA9">
        <w:rPr>
          <w:rFonts w:ascii="Times New Roman" w:hAnsi="Times New Roman" w:cs="Times New Roman"/>
          <w:color w:val="5F5F60"/>
          <w:sz w:val="24"/>
          <w:szCs w:val="24"/>
          <w:vertAlign w:val="superscript"/>
        </w:rPr>
        <w:t>®</w:t>
      </w:r>
      <w:r w:rsidR="00540BB4" w:rsidRPr="00134FA9">
        <w:rPr>
          <w:rFonts w:ascii="Times New Roman" w:hAnsi="Times New Roman" w:cs="Times New Roman"/>
          <w:sz w:val="24"/>
          <w:szCs w:val="24"/>
        </w:rPr>
        <w:t xml:space="preserve"> </w:t>
      </w:r>
      <w:r w:rsidRPr="00134FA9">
        <w:rPr>
          <w:rFonts w:ascii="Times New Roman" w:hAnsi="Times New Roman" w:cs="Times New Roman"/>
          <w:sz w:val="24"/>
          <w:szCs w:val="24"/>
        </w:rPr>
        <w:t>document for respondents to use for submitting their comments</w:t>
      </w:r>
      <w:r w:rsidR="004B1A73">
        <w:rPr>
          <w:rFonts w:ascii="Times New Roman" w:hAnsi="Times New Roman" w:cs="Times New Roman"/>
          <w:sz w:val="24"/>
          <w:szCs w:val="24"/>
        </w:rPr>
        <w:t xml:space="preserve">, </w:t>
      </w:r>
      <w:r w:rsidRPr="00134FA9">
        <w:rPr>
          <w:rFonts w:ascii="Times New Roman" w:hAnsi="Times New Roman" w:cs="Times New Roman"/>
          <w:sz w:val="24"/>
          <w:szCs w:val="24"/>
        </w:rPr>
        <w:t xml:space="preserve">if they wish.  </w:t>
      </w:r>
    </w:p>
    <w:p w14:paraId="2EE8D222" w14:textId="62921E76" w:rsidR="00E2385A" w:rsidRPr="00134FA9" w:rsidRDefault="00F560B7" w:rsidP="00EB4BED">
      <w:pPr>
        <w:rPr>
          <w:rFonts w:ascii="Times New Roman" w:hAnsi="Times New Roman" w:cs="Times New Roman"/>
          <w:sz w:val="24"/>
          <w:szCs w:val="24"/>
        </w:rPr>
      </w:pPr>
      <w:r w:rsidRPr="00134FA9">
        <w:rPr>
          <w:rFonts w:ascii="Times New Roman" w:hAnsi="Times New Roman" w:cs="Times New Roman"/>
          <w:sz w:val="24"/>
          <w:szCs w:val="24"/>
        </w:rPr>
        <w:t xml:space="preserve">This document presents all of the questions in </w:t>
      </w:r>
      <w:r w:rsidR="004964B5">
        <w:rPr>
          <w:rFonts w:ascii="Times New Roman" w:hAnsi="Times New Roman" w:cs="Times New Roman"/>
          <w:sz w:val="24"/>
          <w:szCs w:val="24"/>
        </w:rPr>
        <w:t>the Invitation to Comment on the Exposure Draft</w:t>
      </w:r>
      <w:r w:rsidR="004964B5">
        <w:rPr>
          <w:rFonts w:ascii="Times New Roman" w:hAnsi="Times New Roman" w:cs="Times New Roman"/>
          <w:i/>
          <w:sz w:val="24"/>
          <w:szCs w:val="24"/>
        </w:rPr>
        <w:t xml:space="preserve"> </w:t>
      </w:r>
      <w:r w:rsidRPr="00134FA9">
        <w:rPr>
          <w:rFonts w:ascii="Times New Roman" w:hAnsi="Times New Roman" w:cs="Times New Roman"/>
          <w:sz w:val="24"/>
          <w:szCs w:val="24"/>
        </w:rPr>
        <w:t xml:space="preserve">in a table with </w:t>
      </w:r>
      <w:r w:rsidR="00BB7C39">
        <w:rPr>
          <w:rFonts w:ascii="Times New Roman" w:hAnsi="Times New Roman" w:cs="Times New Roman"/>
          <w:sz w:val="24"/>
          <w:szCs w:val="24"/>
        </w:rPr>
        <w:t>spaces</w:t>
      </w:r>
      <w:r w:rsidR="00BB7C39" w:rsidRPr="00134FA9">
        <w:rPr>
          <w:rFonts w:ascii="Times New Roman" w:hAnsi="Times New Roman" w:cs="Times New Roman"/>
          <w:sz w:val="24"/>
          <w:szCs w:val="24"/>
        </w:rPr>
        <w:t xml:space="preserve"> </w:t>
      </w:r>
      <w:r w:rsidRPr="00134FA9">
        <w:rPr>
          <w:rFonts w:ascii="Times New Roman" w:hAnsi="Times New Roman" w:cs="Times New Roman"/>
          <w:sz w:val="24"/>
          <w:szCs w:val="24"/>
        </w:rPr>
        <w:t>for respon</w:t>
      </w:r>
      <w:r w:rsidR="00BB7C39">
        <w:rPr>
          <w:rFonts w:ascii="Times New Roman" w:hAnsi="Times New Roman" w:cs="Times New Roman"/>
          <w:sz w:val="24"/>
          <w:szCs w:val="24"/>
        </w:rPr>
        <w:t>ses</w:t>
      </w:r>
      <w:r w:rsidR="00DE7A2D" w:rsidRPr="00134FA9">
        <w:rPr>
          <w:rFonts w:ascii="Times New Roman" w:hAnsi="Times New Roman" w:cs="Times New Roman"/>
          <w:sz w:val="24"/>
          <w:szCs w:val="24"/>
        </w:rPr>
        <w:t xml:space="preserve">. </w:t>
      </w:r>
    </w:p>
    <w:p w14:paraId="4D7C7284" w14:textId="5F91D2DD" w:rsidR="008905EA" w:rsidRDefault="00F560B7" w:rsidP="004B1A73">
      <w:pPr>
        <w:autoSpaceDE w:val="0"/>
        <w:autoSpaceDN w:val="0"/>
        <w:adjustRightInd w:val="0"/>
        <w:spacing w:after="0" w:line="240" w:lineRule="auto"/>
        <w:rPr>
          <w:rFonts w:ascii="Times New Roman" w:hAnsi="Times New Roman" w:cs="Times New Roman"/>
          <w:sz w:val="24"/>
          <w:szCs w:val="24"/>
        </w:rPr>
      </w:pPr>
      <w:r w:rsidRPr="00134FA9">
        <w:rPr>
          <w:rFonts w:ascii="Times New Roman" w:hAnsi="Times New Roman" w:cs="Times New Roman"/>
          <w:sz w:val="24"/>
          <w:szCs w:val="24"/>
        </w:rPr>
        <w:t>R</w:t>
      </w:r>
      <w:r w:rsidR="00A72938" w:rsidRPr="00134FA9">
        <w:rPr>
          <w:rFonts w:ascii="Times New Roman" w:hAnsi="Times New Roman" w:cs="Times New Roman"/>
          <w:sz w:val="24"/>
          <w:szCs w:val="24"/>
        </w:rPr>
        <w:t xml:space="preserve">espondents </w:t>
      </w:r>
      <w:r w:rsidRPr="00134FA9">
        <w:rPr>
          <w:rFonts w:ascii="Times New Roman" w:hAnsi="Times New Roman" w:cs="Times New Roman"/>
          <w:sz w:val="24"/>
          <w:szCs w:val="24"/>
        </w:rPr>
        <w:t xml:space="preserve">are encouraged to </w:t>
      </w:r>
      <w:r w:rsidR="00A72938" w:rsidRPr="00134FA9">
        <w:rPr>
          <w:rFonts w:ascii="Times New Roman" w:hAnsi="Times New Roman" w:cs="Times New Roman"/>
          <w:sz w:val="24"/>
          <w:szCs w:val="24"/>
        </w:rPr>
        <w:t>complete this</w:t>
      </w:r>
      <w:r w:rsidR="006D0312" w:rsidRPr="00134FA9">
        <w:rPr>
          <w:rFonts w:ascii="Times New Roman" w:hAnsi="Times New Roman" w:cs="Times New Roman"/>
          <w:sz w:val="24"/>
          <w:szCs w:val="24"/>
        </w:rPr>
        <w:t xml:space="preserve"> document </w:t>
      </w:r>
      <w:r w:rsidRPr="00134FA9">
        <w:rPr>
          <w:rFonts w:ascii="Times New Roman" w:hAnsi="Times New Roman" w:cs="Times New Roman"/>
          <w:sz w:val="24"/>
          <w:szCs w:val="24"/>
        </w:rPr>
        <w:t>electronically</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Many respondents will find this the easiest way to submit their comments</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and making submissions in this form will also help ease the analysis of the</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answers. However, respondents are not required to use this document and</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responses will be accepted in all formats.</w:t>
      </w:r>
    </w:p>
    <w:p w14:paraId="49520149" w14:textId="7236369C" w:rsidR="007A3421" w:rsidRPr="007A3421" w:rsidRDefault="00C33384" w:rsidP="007A3421">
      <w:pPr>
        <w:spacing w:before="120" w:after="120"/>
        <w:rPr>
          <w:rFonts w:ascii="Times New Roman" w:hAnsi="Times New Roman" w:cs="Times New Roman"/>
          <w:sz w:val="24"/>
          <w:szCs w:val="24"/>
        </w:rPr>
      </w:pPr>
      <w:r w:rsidRPr="00154F83">
        <w:rPr>
          <w:rFonts w:ascii="Times New Roman" w:hAnsi="Times New Roman" w:cs="Times New Roman"/>
          <w:sz w:val="24"/>
          <w:szCs w:val="24"/>
        </w:rPr>
        <w:t>Respondents need not comment on all questions in th</w:t>
      </w:r>
      <w:r w:rsidR="00572CD5">
        <w:rPr>
          <w:rFonts w:ascii="Times New Roman" w:hAnsi="Times New Roman" w:cs="Times New Roman"/>
          <w:sz w:val="24"/>
          <w:szCs w:val="24"/>
        </w:rPr>
        <w:t>e</w:t>
      </w:r>
      <w:r w:rsidRPr="00154F83">
        <w:rPr>
          <w:rFonts w:ascii="Times New Roman" w:hAnsi="Times New Roman" w:cs="Times New Roman"/>
          <w:sz w:val="24"/>
          <w:szCs w:val="24"/>
        </w:rPr>
        <w:t xml:space="preserve"> Invitation to Comment.</w:t>
      </w:r>
    </w:p>
    <w:p w14:paraId="292BBA0C" w14:textId="77777777" w:rsidR="00824CED" w:rsidRDefault="00824CED" w:rsidP="00C33384">
      <w:pPr>
        <w:autoSpaceDE w:val="0"/>
        <w:autoSpaceDN w:val="0"/>
        <w:adjustRightInd w:val="0"/>
        <w:spacing w:after="0" w:line="240" w:lineRule="auto"/>
        <w:jc w:val="center"/>
        <w:rPr>
          <w:rFonts w:ascii="Times New Roman" w:hAnsi="Times New Roman" w:cs="Times New Roman"/>
          <w:sz w:val="24"/>
          <w:szCs w:val="24"/>
        </w:rPr>
      </w:pPr>
    </w:p>
    <w:p w14:paraId="66958944" w14:textId="6BDA1A31" w:rsidR="00E53A29" w:rsidRPr="00E53A29" w:rsidRDefault="00E53A29" w:rsidP="00C33384">
      <w:pPr>
        <w:autoSpaceDE w:val="0"/>
        <w:autoSpaceDN w:val="0"/>
        <w:adjustRightInd w:val="0"/>
        <w:spacing w:after="0" w:line="240" w:lineRule="auto"/>
        <w:jc w:val="center"/>
        <w:rPr>
          <w:rFonts w:ascii="Times New Roman" w:hAnsi="Times New Roman" w:cs="Times New Roman"/>
          <w:sz w:val="24"/>
          <w:szCs w:val="24"/>
        </w:rPr>
      </w:pPr>
      <w:r w:rsidRPr="00E53A29">
        <w:rPr>
          <w:rFonts w:ascii="Times New Roman" w:hAnsi="Times New Roman" w:cs="Times New Roman"/>
          <w:sz w:val="24"/>
          <w:szCs w:val="24"/>
        </w:rPr>
        <w:t xml:space="preserve">Comments to be received by </w:t>
      </w:r>
      <w:r w:rsidRPr="00E53A29">
        <w:rPr>
          <w:rFonts w:ascii="Times New Roman" w:hAnsi="Times New Roman" w:cs="Times New Roman"/>
          <w:b/>
          <w:bCs/>
          <w:sz w:val="24"/>
          <w:szCs w:val="24"/>
        </w:rPr>
        <w:t xml:space="preserve">7 </w:t>
      </w:r>
      <w:r w:rsidR="004964B5">
        <w:rPr>
          <w:rFonts w:ascii="Times New Roman" w:hAnsi="Times New Roman" w:cs="Times New Roman"/>
          <w:b/>
          <w:bCs/>
          <w:sz w:val="24"/>
          <w:szCs w:val="24"/>
        </w:rPr>
        <w:t>March</w:t>
      </w:r>
      <w:r w:rsidRPr="00E53A29">
        <w:rPr>
          <w:rFonts w:ascii="Times New Roman" w:hAnsi="Times New Roman" w:cs="Times New Roman"/>
          <w:b/>
          <w:bCs/>
          <w:sz w:val="24"/>
          <w:szCs w:val="24"/>
        </w:rPr>
        <w:t xml:space="preserve"> 202</w:t>
      </w:r>
      <w:r w:rsidR="004964B5">
        <w:rPr>
          <w:rFonts w:ascii="Times New Roman" w:hAnsi="Times New Roman" w:cs="Times New Roman"/>
          <w:b/>
          <w:bCs/>
          <w:sz w:val="24"/>
          <w:szCs w:val="24"/>
        </w:rPr>
        <w:t>3</w:t>
      </w:r>
    </w:p>
    <w:p w14:paraId="2261BCA4" w14:textId="51E33594" w:rsidR="00134FA9" w:rsidRPr="00134FA9" w:rsidRDefault="00134FA9" w:rsidP="00E53A29">
      <w:pPr>
        <w:autoSpaceDE w:val="0"/>
        <w:autoSpaceDN w:val="0"/>
        <w:adjustRightInd w:val="0"/>
        <w:spacing w:after="0" w:line="240" w:lineRule="auto"/>
        <w:jc w:val="center"/>
        <w:rPr>
          <w:rFonts w:ascii="Times New Roman" w:hAnsi="Times New Roman" w:cs="Times New Roman"/>
          <w:sz w:val="24"/>
          <w:szCs w:val="24"/>
        </w:rPr>
        <w:sectPr w:rsidR="00134FA9" w:rsidRPr="00134FA9" w:rsidSect="00A10608">
          <w:footerReference w:type="default" r:id="rId11"/>
          <w:headerReference w:type="first" r:id="rId12"/>
          <w:pgSz w:w="16838" w:h="11906" w:orient="landscape"/>
          <w:pgMar w:top="567" w:right="1440" w:bottom="1440" w:left="1440" w:header="708" w:footer="708" w:gutter="0"/>
          <w:cols w:space="708"/>
          <w:docGrid w:linePitch="360"/>
        </w:sectPr>
      </w:pP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9385"/>
      </w:tblGrid>
      <w:tr w:rsidR="00FF6336" w14:paraId="15BA3F81" w14:textId="77777777" w:rsidTr="00CD2B7C">
        <w:tc>
          <w:tcPr>
            <w:tcW w:w="4649" w:type="dxa"/>
          </w:tcPr>
          <w:p w14:paraId="6A7E90E9" w14:textId="13CFB294"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lastRenderedPageBreak/>
              <w:t xml:space="preserve">Name of </w:t>
            </w:r>
            <w:r w:rsidR="004B1A73">
              <w:rPr>
                <w:rFonts w:ascii="Times New Roman" w:hAnsi="Times New Roman" w:cs="Times New Roman"/>
                <w:b/>
                <w:sz w:val="24"/>
                <w:szCs w:val="24"/>
              </w:rPr>
              <w:t xml:space="preserve">Respondent: </w:t>
            </w:r>
          </w:p>
          <w:p w14:paraId="7C9E0A40" w14:textId="24910521" w:rsidR="00FF6336" w:rsidRDefault="00FF6336" w:rsidP="00EB4BED">
            <w:pPr>
              <w:rPr>
                <w:rFonts w:ascii="Times New Roman" w:hAnsi="Times New Roman" w:cs="Times New Roman"/>
                <w:b/>
                <w:sz w:val="24"/>
                <w:szCs w:val="24"/>
              </w:rPr>
            </w:pPr>
          </w:p>
        </w:tc>
        <w:tc>
          <w:tcPr>
            <w:tcW w:w="9385" w:type="dxa"/>
            <w:tcBorders>
              <w:bottom w:val="single" w:sz="4" w:space="0" w:color="auto"/>
            </w:tcBorders>
          </w:tcPr>
          <w:p w14:paraId="45778871" w14:textId="77777777" w:rsidR="00FF6336" w:rsidRDefault="00FF6336" w:rsidP="00EB4BED">
            <w:pPr>
              <w:rPr>
                <w:rFonts w:ascii="Times New Roman" w:hAnsi="Times New Roman" w:cs="Times New Roman"/>
                <w:b/>
                <w:sz w:val="24"/>
                <w:szCs w:val="24"/>
              </w:rPr>
            </w:pPr>
          </w:p>
        </w:tc>
      </w:tr>
      <w:tr w:rsidR="00FF6336" w14:paraId="420601CB" w14:textId="77777777" w:rsidTr="00CD2B7C">
        <w:tc>
          <w:tcPr>
            <w:tcW w:w="4649" w:type="dxa"/>
          </w:tcPr>
          <w:p w14:paraId="15766EB7" w14:textId="77777777"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Organisation:</w:t>
            </w:r>
          </w:p>
          <w:p w14:paraId="2522F349" w14:textId="148A3741"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380F6798" w14:textId="77777777" w:rsidR="00FF6336" w:rsidRDefault="00FF6336" w:rsidP="00EB4BED">
            <w:pPr>
              <w:rPr>
                <w:rFonts w:ascii="Times New Roman" w:hAnsi="Times New Roman" w:cs="Times New Roman"/>
                <w:b/>
                <w:sz w:val="24"/>
                <w:szCs w:val="24"/>
              </w:rPr>
            </w:pPr>
          </w:p>
        </w:tc>
      </w:tr>
      <w:tr w:rsidR="00FF6336" w14:paraId="5B6AEE64" w14:textId="77777777" w:rsidTr="00CD2B7C">
        <w:tc>
          <w:tcPr>
            <w:tcW w:w="4649" w:type="dxa"/>
          </w:tcPr>
          <w:p w14:paraId="4965E01B" w14:textId="37BA665A" w:rsidR="00FF6336" w:rsidRDefault="004B1A73" w:rsidP="00EB4BED">
            <w:pPr>
              <w:rPr>
                <w:rFonts w:ascii="Times New Roman" w:hAnsi="Times New Roman" w:cs="Times New Roman"/>
                <w:b/>
                <w:sz w:val="24"/>
                <w:szCs w:val="24"/>
              </w:rPr>
            </w:pPr>
            <w:r>
              <w:rPr>
                <w:rFonts w:ascii="Times New Roman" w:hAnsi="Times New Roman" w:cs="Times New Roman"/>
                <w:b/>
                <w:sz w:val="24"/>
                <w:szCs w:val="24"/>
              </w:rPr>
              <w:t>Jurisdiction</w:t>
            </w:r>
            <w:r w:rsidR="00FF6336">
              <w:rPr>
                <w:rFonts w:ascii="Times New Roman" w:hAnsi="Times New Roman" w:cs="Times New Roman"/>
                <w:b/>
                <w:sz w:val="24"/>
                <w:szCs w:val="24"/>
              </w:rPr>
              <w:t>:</w:t>
            </w:r>
          </w:p>
          <w:p w14:paraId="7B7F9ED6" w14:textId="7B821B7F"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3A3D441D" w14:textId="77777777" w:rsidR="00FF6336" w:rsidRDefault="00FF6336" w:rsidP="00EB4BED">
            <w:pPr>
              <w:rPr>
                <w:rFonts w:ascii="Times New Roman" w:hAnsi="Times New Roman" w:cs="Times New Roman"/>
                <w:b/>
                <w:sz w:val="24"/>
                <w:szCs w:val="24"/>
              </w:rPr>
            </w:pPr>
          </w:p>
        </w:tc>
      </w:tr>
      <w:tr w:rsidR="00FF6336" w14:paraId="069B1ADE" w14:textId="77777777" w:rsidTr="00CD2B7C">
        <w:tc>
          <w:tcPr>
            <w:tcW w:w="4649" w:type="dxa"/>
          </w:tcPr>
          <w:p w14:paraId="69DD4063" w14:textId="31F12654"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Correspondence and/or email</w:t>
            </w:r>
            <w:r w:rsidR="00D74409">
              <w:rPr>
                <w:rFonts w:ascii="Times New Roman" w:hAnsi="Times New Roman" w:cs="Times New Roman"/>
                <w:b/>
                <w:sz w:val="24"/>
                <w:szCs w:val="24"/>
              </w:rPr>
              <w:t xml:space="preserve"> address</w:t>
            </w:r>
            <w:r>
              <w:rPr>
                <w:rFonts w:ascii="Times New Roman" w:hAnsi="Times New Roman" w:cs="Times New Roman"/>
                <w:b/>
                <w:sz w:val="24"/>
                <w:szCs w:val="24"/>
              </w:rPr>
              <w:t>:</w:t>
            </w:r>
          </w:p>
          <w:p w14:paraId="308B0F0A" w14:textId="64534725"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0986774A" w14:textId="77777777" w:rsidR="00FF6336" w:rsidRDefault="00FF6336" w:rsidP="00EB4BED">
            <w:pPr>
              <w:rPr>
                <w:rFonts w:ascii="Times New Roman" w:hAnsi="Times New Roman" w:cs="Times New Roman"/>
                <w:b/>
                <w:sz w:val="24"/>
                <w:szCs w:val="24"/>
              </w:rPr>
            </w:pPr>
          </w:p>
        </w:tc>
      </w:tr>
    </w:tbl>
    <w:p w14:paraId="5460F5FA" w14:textId="77777777" w:rsidR="004B1A73" w:rsidRDefault="004B1A73" w:rsidP="00EB4BED">
      <w:pPr>
        <w:rPr>
          <w:rFonts w:ascii="Times New Roman" w:hAnsi="Times New Roman" w:cs="Times New Roman"/>
          <w:b/>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1771F9" w:rsidRPr="009F21A3" w14:paraId="5F779155" w14:textId="77777777" w:rsidTr="00C37998">
        <w:trPr>
          <w:tblHeader/>
        </w:trPr>
        <w:tc>
          <w:tcPr>
            <w:tcW w:w="704" w:type="dxa"/>
            <w:shd w:val="clear" w:color="auto" w:fill="auto"/>
          </w:tcPr>
          <w:p w14:paraId="42FAAFB9" w14:textId="77777777" w:rsidR="001771F9" w:rsidRPr="00C37998" w:rsidRDefault="001771F9" w:rsidP="005016B6">
            <w:pPr>
              <w:pStyle w:val="PlainText"/>
              <w:spacing w:before="60" w:after="60"/>
              <w:rPr>
                <w:rFonts w:ascii="Times New Roman" w:hAnsi="Times New Roman"/>
                <w:b/>
                <w:sz w:val="24"/>
                <w:szCs w:val="24"/>
              </w:rPr>
            </w:pPr>
            <w:r w:rsidRPr="00C37998">
              <w:rPr>
                <w:rFonts w:ascii="Times New Roman" w:hAnsi="Times New Roman"/>
                <w:b/>
                <w:sz w:val="24"/>
                <w:szCs w:val="24"/>
              </w:rPr>
              <w:t>Ref</w:t>
            </w:r>
          </w:p>
        </w:tc>
        <w:tc>
          <w:tcPr>
            <w:tcW w:w="7512" w:type="dxa"/>
            <w:shd w:val="clear" w:color="auto" w:fill="auto"/>
          </w:tcPr>
          <w:p w14:paraId="3AF1DD08" w14:textId="0981622D" w:rsidR="001771F9" w:rsidRPr="00C37998" w:rsidRDefault="001771F9" w:rsidP="005016B6">
            <w:pPr>
              <w:pStyle w:val="PlainText"/>
              <w:spacing w:before="60" w:after="60"/>
              <w:rPr>
                <w:rFonts w:ascii="Times New Roman" w:hAnsi="Times New Roman"/>
                <w:b/>
                <w:sz w:val="24"/>
                <w:szCs w:val="24"/>
                <w:lang w:val="en-US"/>
              </w:rPr>
            </w:pPr>
            <w:r w:rsidRPr="00C37998">
              <w:rPr>
                <w:rFonts w:ascii="Times New Roman" w:hAnsi="Times New Roman"/>
                <w:b/>
                <w:sz w:val="24"/>
                <w:szCs w:val="24"/>
              </w:rPr>
              <w:t>Question</w:t>
            </w:r>
          </w:p>
        </w:tc>
        <w:tc>
          <w:tcPr>
            <w:tcW w:w="5813" w:type="dxa"/>
            <w:shd w:val="clear" w:color="auto" w:fill="auto"/>
          </w:tcPr>
          <w:p w14:paraId="3497C94D" w14:textId="180E55A2" w:rsidR="001771F9" w:rsidRPr="00C37998" w:rsidRDefault="001771F9" w:rsidP="005016B6">
            <w:pPr>
              <w:pStyle w:val="PlainText"/>
              <w:spacing w:before="60" w:after="60"/>
              <w:rPr>
                <w:rFonts w:ascii="Times New Roman" w:hAnsi="Times New Roman"/>
                <w:b/>
                <w:sz w:val="24"/>
                <w:szCs w:val="24"/>
              </w:rPr>
            </w:pPr>
            <w:r w:rsidRPr="00C37998">
              <w:rPr>
                <w:rFonts w:ascii="Times New Roman" w:hAnsi="Times New Roman"/>
                <w:b/>
                <w:sz w:val="24"/>
                <w:szCs w:val="24"/>
              </w:rPr>
              <w:t>R</w:t>
            </w:r>
            <w:r w:rsidR="0037602A" w:rsidRPr="00C37998">
              <w:rPr>
                <w:rFonts w:ascii="Times New Roman" w:hAnsi="Times New Roman"/>
                <w:b/>
                <w:sz w:val="24"/>
                <w:szCs w:val="24"/>
              </w:rPr>
              <w:t>esponse</w:t>
            </w:r>
          </w:p>
          <w:p w14:paraId="78A2AE4B" w14:textId="6944E303" w:rsidR="001771F9" w:rsidRPr="00C37998" w:rsidRDefault="001771F9" w:rsidP="003C6FCF">
            <w:pPr>
              <w:pStyle w:val="PlainText"/>
              <w:rPr>
                <w:rFonts w:ascii="Times New Roman" w:hAnsi="Times New Roman"/>
                <w:bCs/>
                <w:sz w:val="24"/>
                <w:szCs w:val="24"/>
              </w:rPr>
            </w:pPr>
            <w:r w:rsidRPr="00C37998">
              <w:rPr>
                <w:rFonts w:ascii="Times New Roman" w:hAnsi="Times New Roman"/>
                <w:bCs/>
                <w:sz w:val="24"/>
                <w:szCs w:val="24"/>
              </w:rPr>
              <w:t>(</w:t>
            </w:r>
            <w:r w:rsidRPr="00C37998">
              <w:rPr>
                <w:rFonts w:ascii="Times New Roman" w:hAnsi="Times New Roman"/>
                <w:bCs/>
                <w:i/>
                <w:iCs/>
                <w:sz w:val="24"/>
                <w:szCs w:val="24"/>
              </w:rPr>
              <w:t>Please give clear reasoning to support your response</w:t>
            </w:r>
            <w:r w:rsidRPr="00C37998">
              <w:rPr>
                <w:rFonts w:ascii="Times New Roman" w:hAnsi="Times New Roman"/>
                <w:bCs/>
                <w:sz w:val="24"/>
                <w:szCs w:val="24"/>
              </w:rPr>
              <w:t>)</w:t>
            </w:r>
          </w:p>
          <w:p w14:paraId="3E124F43" w14:textId="128AF9ED" w:rsidR="003C6FCF" w:rsidRPr="00C37998" w:rsidRDefault="003C6FCF" w:rsidP="00C37998">
            <w:pPr>
              <w:pStyle w:val="PlainText"/>
              <w:rPr>
                <w:rFonts w:ascii="Times New Roman" w:hAnsi="Times New Roman"/>
                <w:b/>
                <w:sz w:val="24"/>
                <w:szCs w:val="24"/>
              </w:rPr>
            </w:pPr>
          </w:p>
        </w:tc>
      </w:tr>
      <w:tr w:rsidR="00A93F0E" w:rsidRPr="009F21A3" w14:paraId="50E10031" w14:textId="77777777" w:rsidTr="00D71A49">
        <w:trPr>
          <w:trHeight w:val="525"/>
        </w:trPr>
        <w:tc>
          <w:tcPr>
            <w:tcW w:w="14029" w:type="dxa"/>
            <w:gridSpan w:val="3"/>
            <w:shd w:val="clear" w:color="auto" w:fill="000000" w:themeFill="text1"/>
          </w:tcPr>
          <w:p w14:paraId="2DF5FC68" w14:textId="15E7661B" w:rsidR="00A93F0E" w:rsidRPr="00E42661" w:rsidRDefault="005D0E60" w:rsidP="00C37998">
            <w:pPr>
              <w:autoSpaceDE w:val="0"/>
              <w:autoSpaceDN w:val="0"/>
              <w:adjustRightInd w:val="0"/>
              <w:spacing w:before="120"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Question</w:t>
            </w:r>
            <w:r w:rsidR="001A0C7F">
              <w:rPr>
                <w:rFonts w:ascii="Times New Roman" w:hAnsi="Times New Roman" w:cs="Times New Roman"/>
                <w:spacing w:val="-3"/>
                <w:sz w:val="24"/>
                <w:szCs w:val="24"/>
              </w:rPr>
              <w:t>s</w:t>
            </w:r>
            <w:r>
              <w:rPr>
                <w:rFonts w:ascii="Times New Roman" w:hAnsi="Times New Roman" w:cs="Times New Roman"/>
                <w:spacing w:val="-3"/>
                <w:sz w:val="24"/>
                <w:szCs w:val="24"/>
              </w:rPr>
              <w:t xml:space="preserve"> for respondents—</w:t>
            </w:r>
            <w:r w:rsidR="00E42661">
              <w:rPr>
                <w:rFonts w:ascii="Times New Roman" w:hAnsi="Times New Roman" w:cs="Times New Roman"/>
                <w:spacing w:val="-3"/>
                <w:sz w:val="24"/>
                <w:szCs w:val="24"/>
              </w:rPr>
              <w:t>Scope of the Standard</w:t>
            </w:r>
          </w:p>
        </w:tc>
      </w:tr>
      <w:tr w:rsidR="00320F31" w:rsidRPr="009F21A3" w14:paraId="292DF96D" w14:textId="77777777" w:rsidTr="00220A48">
        <w:tc>
          <w:tcPr>
            <w:tcW w:w="704" w:type="dxa"/>
            <w:shd w:val="clear" w:color="auto" w:fill="D9D9D9" w:themeFill="background1" w:themeFillShade="D9"/>
          </w:tcPr>
          <w:p w14:paraId="090F5B79" w14:textId="587CB066" w:rsidR="00320F31" w:rsidRPr="009F21A3" w:rsidRDefault="00320F31" w:rsidP="00235B38">
            <w:pPr>
              <w:pStyle w:val="ListParagraph"/>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1</w:t>
            </w:r>
          </w:p>
        </w:tc>
        <w:tc>
          <w:tcPr>
            <w:tcW w:w="13325" w:type="dxa"/>
            <w:gridSpan w:val="2"/>
            <w:shd w:val="clear" w:color="auto" w:fill="D9D9D9" w:themeFill="background1" w:themeFillShade="D9"/>
          </w:tcPr>
          <w:p w14:paraId="58328C37" w14:textId="77777777" w:rsidR="00320F31" w:rsidRPr="00EA5F65" w:rsidRDefault="00320F31" w:rsidP="00EA5F65">
            <w:pPr>
              <w:pStyle w:val="ListParagraph"/>
              <w:snapToGrid w:val="0"/>
              <w:spacing w:before="60" w:after="60"/>
              <w:ind w:left="0"/>
              <w:contextualSpacing w:val="0"/>
              <w:rPr>
                <w:rStyle w:val="Heading2Char"/>
                <w:rFonts w:eastAsiaTheme="minorHAnsi" w:cs="Times New Roman"/>
                <w:szCs w:val="20"/>
              </w:rPr>
            </w:pPr>
            <w:bookmarkStart w:id="0" w:name="_Toc325377300"/>
            <w:r w:rsidRPr="00EA5F65">
              <w:rPr>
                <w:rStyle w:val="Heading2Char"/>
                <w:rFonts w:eastAsiaTheme="minorHAnsi" w:cs="Times New Roman"/>
                <w:szCs w:val="20"/>
              </w:rPr>
              <w:t xml:space="preserve">Question 1—Definition of public accountability </w:t>
            </w:r>
          </w:p>
          <w:bookmarkEnd w:id="0"/>
          <w:p w14:paraId="263A04E8" w14:textId="77777777" w:rsidR="00320F31" w:rsidRPr="00EA5F65" w:rsidRDefault="00320F31" w:rsidP="00EA5F65">
            <w:pPr>
              <w:spacing w:before="120" w:after="120"/>
              <w:rPr>
                <w:rFonts w:ascii="Times New Roman" w:hAnsi="Times New Roman" w:cs="Times New Roman"/>
                <w:sz w:val="20"/>
                <w:szCs w:val="20"/>
              </w:rPr>
            </w:pPr>
            <w:r w:rsidRPr="00EA5F65">
              <w:rPr>
                <w:rFonts w:ascii="Times New Roman" w:hAnsi="Times New Roman" w:cs="Times New Roman"/>
                <w:sz w:val="20"/>
                <w:szCs w:val="20"/>
              </w:rPr>
              <w:t xml:space="preserve">Respondents to the Exposure Draft </w:t>
            </w:r>
            <w:r w:rsidRPr="00EA5F65">
              <w:rPr>
                <w:rFonts w:ascii="Times New Roman" w:hAnsi="Times New Roman" w:cs="Times New Roman"/>
                <w:i/>
                <w:iCs/>
                <w:sz w:val="20"/>
                <w:szCs w:val="20"/>
              </w:rPr>
              <w:t>Subsidiaries without Public Accountability: Disclosures</w:t>
            </w:r>
            <w:r w:rsidRPr="00EA5F65">
              <w:rPr>
                <w:rFonts w:ascii="Times New Roman" w:hAnsi="Times New Roman" w:cs="Times New Roman"/>
                <w:sz w:val="20"/>
                <w:szCs w:val="20"/>
              </w:rPr>
              <w:t xml:space="preserve">, published in July 2021, expressed some concerns about applying the definition of public accountability. The description of ‘public accountability’ in the Exposure Draft </w:t>
            </w:r>
            <w:r w:rsidRPr="00EA5F65">
              <w:rPr>
                <w:rFonts w:ascii="Times New Roman" w:hAnsi="Times New Roman" w:cs="Times New Roman"/>
                <w:i/>
                <w:iCs/>
                <w:sz w:val="20"/>
                <w:szCs w:val="20"/>
              </w:rPr>
              <w:t>Subsidiaries without Public Accountability: Disclosures</w:t>
            </w:r>
            <w:r w:rsidRPr="00EA5F65">
              <w:rPr>
                <w:rFonts w:ascii="Times New Roman" w:hAnsi="Times New Roman" w:cs="Times New Roman"/>
                <w:sz w:val="20"/>
                <w:szCs w:val="20"/>
              </w:rPr>
              <w:t xml:space="preserve"> comprises the definition and supporting guidance in paragraphs 1.3–1.4 of the </w:t>
            </w:r>
            <w:r w:rsidRPr="00EA5F65">
              <w:rPr>
                <w:rFonts w:ascii="Times New Roman" w:hAnsi="Times New Roman" w:cs="Times New Roman"/>
                <w:i/>
                <w:iCs/>
                <w:sz w:val="20"/>
                <w:szCs w:val="20"/>
              </w:rPr>
              <w:t xml:space="preserve">IFRS for SMEs </w:t>
            </w:r>
            <w:r w:rsidRPr="00EA5F65">
              <w:rPr>
                <w:rFonts w:ascii="Times New Roman" w:hAnsi="Times New Roman" w:cs="Times New Roman"/>
                <w:sz w:val="20"/>
                <w:szCs w:val="20"/>
              </w:rPr>
              <w:t xml:space="preserve">Accounting Standard (Standard). </w:t>
            </w:r>
          </w:p>
          <w:p w14:paraId="1ADAF37A" w14:textId="77777777" w:rsidR="00320F31" w:rsidRPr="00EA5F65" w:rsidRDefault="00320F31" w:rsidP="00EA5F65">
            <w:pPr>
              <w:spacing w:before="120" w:after="120"/>
              <w:rPr>
                <w:rFonts w:ascii="Times New Roman" w:hAnsi="Times New Roman" w:cs="Times New Roman"/>
                <w:sz w:val="20"/>
                <w:szCs w:val="20"/>
              </w:rPr>
            </w:pPr>
            <w:r w:rsidRPr="00EA5F65">
              <w:rPr>
                <w:rFonts w:ascii="Times New Roman" w:hAnsi="Times New Roman" w:cs="Times New Roman"/>
                <w:sz w:val="20"/>
                <w:szCs w:val="20"/>
              </w:rPr>
              <w:t xml:space="preserve">In response to this feedback, the IASB is proposing to amend paragraph 1.3(b) to list banks, credit unions, insurance companies, securities brokers/dealers, mutual funds and investment banks as examples of entities that often meet the second criterion of public accountability in paragraph 1.3(b). To assist an understanding of the basis for the definition of public accountability, the IASB is also proposing to clarify that an entity with these characteristics would usually have public accountability: </w:t>
            </w:r>
          </w:p>
          <w:p w14:paraId="5CBB55D4" w14:textId="77777777" w:rsidR="00320F31" w:rsidRPr="00EA5F65" w:rsidRDefault="00320F31" w:rsidP="00EA5F65">
            <w:pPr>
              <w:pStyle w:val="Boardpaperlevel2"/>
              <w:numPr>
                <w:ilvl w:val="0"/>
                <w:numId w:val="26"/>
              </w:numPr>
              <w:spacing w:before="120" w:line="276" w:lineRule="auto"/>
              <w:ind w:right="0"/>
              <w:rPr>
                <w:sz w:val="20"/>
                <w:szCs w:val="20"/>
              </w:rPr>
            </w:pPr>
            <w:r w:rsidRPr="00EA5F65">
              <w:rPr>
                <w:sz w:val="20"/>
                <w:szCs w:val="20"/>
              </w:rPr>
              <w:t xml:space="preserve">there is both a high degree of outside interest in the entity and a broad group of users of the entity’s financial statements (existing and potential investors, lenders and other creditors) who have a direct financial interest in or substantial claim against the entity. </w:t>
            </w:r>
          </w:p>
          <w:p w14:paraId="19D87CEF" w14:textId="77777777" w:rsidR="00320F31" w:rsidRPr="00EA5F65" w:rsidRDefault="00320F31" w:rsidP="00EA5F65">
            <w:pPr>
              <w:pStyle w:val="Boardpaperlevel2"/>
              <w:numPr>
                <w:ilvl w:val="0"/>
                <w:numId w:val="26"/>
              </w:numPr>
              <w:spacing w:before="120" w:line="276" w:lineRule="auto"/>
              <w:ind w:right="0"/>
              <w:rPr>
                <w:sz w:val="20"/>
                <w:szCs w:val="20"/>
              </w:rPr>
            </w:pPr>
            <w:r w:rsidRPr="00EA5F65">
              <w:rPr>
                <w:sz w:val="20"/>
                <w:szCs w:val="20"/>
              </w:rPr>
              <w:t>the users in (a) depend primarily on external financial reporting as their means of obtaining financial information about the entity. These users need financial information about the entity but lack the power to demand the information for themselves.</w:t>
            </w:r>
          </w:p>
          <w:p w14:paraId="5FA3C79F" w14:textId="63ED637F" w:rsidR="00320F31" w:rsidRPr="009F21A3" w:rsidRDefault="00320F31" w:rsidP="001056FC">
            <w:pPr>
              <w:pStyle w:val="ListParagraph"/>
              <w:snapToGrid w:val="0"/>
              <w:spacing w:before="60" w:after="60"/>
              <w:ind w:left="0"/>
              <w:contextualSpacing w:val="0"/>
              <w:rPr>
                <w:rFonts w:ascii="Times New Roman" w:hAnsi="Times New Roman" w:cs="Times New Roman"/>
                <w:b/>
                <w:sz w:val="20"/>
                <w:szCs w:val="20"/>
              </w:rPr>
            </w:pPr>
            <w:r w:rsidRPr="00EA5F65">
              <w:rPr>
                <w:rFonts w:ascii="Times New Roman" w:hAnsi="Times New Roman" w:cs="Times New Roman"/>
                <w:sz w:val="20"/>
                <w:szCs w:val="20"/>
              </w:rPr>
              <w:t>Paragraphs BC11–BC19 of the Basis for Conclusions on th</w:t>
            </w:r>
            <w:r w:rsidR="00E71E3B">
              <w:rPr>
                <w:rFonts w:ascii="Times New Roman" w:hAnsi="Times New Roman" w:cs="Times New Roman"/>
                <w:sz w:val="20"/>
                <w:szCs w:val="20"/>
              </w:rPr>
              <w:t>e</w:t>
            </w:r>
            <w:r w:rsidRPr="00EA5F65">
              <w:rPr>
                <w:rFonts w:ascii="Times New Roman" w:hAnsi="Times New Roman" w:cs="Times New Roman"/>
                <w:sz w:val="20"/>
                <w:szCs w:val="20"/>
              </w:rPr>
              <w:t xml:space="preserve"> Exposure Draft explain the IASB’s rationale for clarifying the definition of public accountability in Section 1. The IASB expects that the amendments to paragraphs 1.3 and 1.3A of Section 1 will add clarity, without changing the intended scope of the Standard.</w:t>
            </w:r>
          </w:p>
        </w:tc>
      </w:tr>
      <w:tr w:rsidR="001771F9" w:rsidRPr="009F21A3" w14:paraId="03ED522C" w14:textId="77777777" w:rsidTr="00B83B48">
        <w:tc>
          <w:tcPr>
            <w:tcW w:w="704" w:type="dxa"/>
            <w:shd w:val="clear" w:color="auto" w:fill="auto"/>
          </w:tcPr>
          <w:p w14:paraId="560C1CFD" w14:textId="3AF18987" w:rsidR="001771F9" w:rsidRPr="009F21A3" w:rsidRDefault="00183103"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lastRenderedPageBreak/>
              <w:t>1(i)</w:t>
            </w:r>
          </w:p>
        </w:tc>
        <w:tc>
          <w:tcPr>
            <w:tcW w:w="7512" w:type="dxa"/>
            <w:shd w:val="clear" w:color="auto" w:fill="auto"/>
          </w:tcPr>
          <w:p w14:paraId="29C0FE70" w14:textId="6486751A" w:rsidR="008E51A5" w:rsidRPr="00EA5F65" w:rsidRDefault="00EA5F65" w:rsidP="00EA5F65">
            <w:pPr>
              <w:spacing w:before="120" w:after="120"/>
              <w:rPr>
                <w:rStyle w:val="Heading2Char"/>
                <w:rFonts w:eastAsiaTheme="minorHAnsi" w:cs="Times New Roman"/>
                <w:b w:val="0"/>
                <w:bCs w:val="0"/>
                <w:szCs w:val="20"/>
              </w:rPr>
            </w:pPr>
            <w:r w:rsidRPr="00EA5F65">
              <w:rPr>
                <w:rFonts w:ascii="Times New Roman" w:hAnsi="Times New Roman" w:cs="Times New Roman"/>
                <w:b/>
                <w:bCs/>
                <w:sz w:val="20"/>
                <w:szCs w:val="20"/>
              </w:rPr>
              <w:t>Do you agree that the amendments will add clarity without changing the intended scope of the Standard? If you do not agree, which types of entities do you believe would be newly scoped in or scoped out?</w:t>
            </w:r>
          </w:p>
        </w:tc>
        <w:tc>
          <w:tcPr>
            <w:tcW w:w="5813" w:type="dxa"/>
            <w:shd w:val="clear" w:color="auto" w:fill="auto"/>
          </w:tcPr>
          <w:p w14:paraId="1D7A9D32" w14:textId="492730E6" w:rsidR="001771F9" w:rsidRPr="009F21A3" w:rsidRDefault="001771F9"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F1401A" w:rsidRPr="009F21A3" w14:paraId="20ABB695" w14:textId="77777777" w:rsidTr="00B83B48">
        <w:tc>
          <w:tcPr>
            <w:tcW w:w="704" w:type="dxa"/>
            <w:shd w:val="clear" w:color="auto" w:fill="auto"/>
          </w:tcPr>
          <w:p w14:paraId="7426F5DB" w14:textId="03FCD85E" w:rsidR="00F1401A" w:rsidRPr="00EA5F65" w:rsidRDefault="00183103" w:rsidP="00EA5F65">
            <w:pPr>
              <w:spacing w:before="120" w:after="120"/>
              <w:rPr>
                <w:rFonts w:ascii="Times New Roman" w:hAnsi="Times New Roman" w:cs="Times New Roman"/>
                <w:sz w:val="20"/>
                <w:szCs w:val="20"/>
              </w:rPr>
            </w:pPr>
            <w:r w:rsidRPr="00EA5F65">
              <w:rPr>
                <w:rFonts w:ascii="Times New Roman" w:hAnsi="Times New Roman" w:cs="Times New Roman"/>
                <w:sz w:val="20"/>
                <w:szCs w:val="20"/>
              </w:rPr>
              <w:t>1(ii)</w:t>
            </w:r>
          </w:p>
        </w:tc>
        <w:tc>
          <w:tcPr>
            <w:tcW w:w="7512" w:type="dxa"/>
            <w:shd w:val="clear" w:color="auto" w:fill="auto"/>
          </w:tcPr>
          <w:p w14:paraId="15B2D17D" w14:textId="75CF4943" w:rsidR="00F1401A" w:rsidRPr="00EA5F65" w:rsidRDefault="00EA5F65" w:rsidP="00EA5F65">
            <w:pPr>
              <w:spacing w:before="120" w:after="120"/>
              <w:rPr>
                <w:rFonts w:ascii="Times New Roman" w:hAnsi="Times New Roman" w:cs="Times New Roman"/>
                <w:b/>
                <w:bCs/>
                <w:sz w:val="20"/>
                <w:szCs w:val="20"/>
              </w:rPr>
            </w:pPr>
            <w:r w:rsidRPr="00EA5F65">
              <w:rPr>
                <w:rFonts w:ascii="Times New Roman" w:hAnsi="Times New Roman" w:cs="Times New Roman"/>
                <w:b/>
                <w:bCs/>
                <w:sz w:val="20"/>
                <w:szCs w:val="20"/>
              </w:rPr>
              <w:t>Do you agree with the proposal to clarify the definition of public accountability? If you do not agree with the proposal, please explain what you suggest instead and why.</w:t>
            </w:r>
          </w:p>
        </w:tc>
        <w:tc>
          <w:tcPr>
            <w:tcW w:w="5813" w:type="dxa"/>
            <w:shd w:val="clear" w:color="auto" w:fill="auto"/>
          </w:tcPr>
          <w:p w14:paraId="081B76DD" w14:textId="77777777" w:rsidR="00F1401A" w:rsidRPr="009F21A3" w:rsidRDefault="00F1401A" w:rsidP="00F1401A">
            <w:pPr>
              <w:pStyle w:val="ListParagraph"/>
              <w:snapToGrid w:val="0"/>
              <w:spacing w:before="60" w:after="60" w:line="360" w:lineRule="auto"/>
              <w:ind w:left="0"/>
              <w:contextualSpacing w:val="0"/>
              <w:rPr>
                <w:rFonts w:ascii="Times New Roman" w:hAnsi="Times New Roman" w:cs="Times New Roman"/>
                <w:b/>
                <w:sz w:val="20"/>
                <w:szCs w:val="20"/>
              </w:rPr>
            </w:pPr>
          </w:p>
        </w:tc>
      </w:tr>
    </w:tbl>
    <w:p w14:paraId="11C16670" w14:textId="120AE59F" w:rsidR="00DE105B" w:rsidRDefault="00832882" w:rsidP="00DE105B">
      <w:pPr>
        <w:ind w:firstLine="720"/>
      </w:pPr>
      <w:r>
        <w:br w:type="page"/>
      </w:r>
    </w:p>
    <w:p w14:paraId="4717C14E" w14:textId="77777777" w:rsidR="00DE105B" w:rsidRDefault="00DE105B" w:rsidP="00DE105B">
      <w:pPr>
        <w:ind w:firstLine="720"/>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635101" w:rsidRPr="009F21A3" w14:paraId="02DC04D1" w14:textId="77777777" w:rsidTr="00C37998">
        <w:trPr>
          <w:tblHeader/>
        </w:trPr>
        <w:tc>
          <w:tcPr>
            <w:tcW w:w="704" w:type="dxa"/>
          </w:tcPr>
          <w:p w14:paraId="36225D22" w14:textId="52F10AFC" w:rsidR="00635101" w:rsidRPr="00C37998" w:rsidRDefault="003A1590" w:rsidP="003A1590">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Ref </w:t>
            </w:r>
          </w:p>
        </w:tc>
        <w:tc>
          <w:tcPr>
            <w:tcW w:w="7512" w:type="dxa"/>
          </w:tcPr>
          <w:p w14:paraId="5F5BB771" w14:textId="06BE4D9B" w:rsidR="00635101" w:rsidRPr="00C37998" w:rsidRDefault="003A1590" w:rsidP="003A1590">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Question </w:t>
            </w:r>
          </w:p>
        </w:tc>
        <w:tc>
          <w:tcPr>
            <w:tcW w:w="5813" w:type="dxa"/>
          </w:tcPr>
          <w:p w14:paraId="6B1B3654" w14:textId="26C94F50" w:rsidR="003A1590" w:rsidRPr="00C37998" w:rsidRDefault="003C7B5C" w:rsidP="00C37998">
            <w:pPr>
              <w:pStyle w:val="PlainText"/>
              <w:rPr>
                <w:rFonts w:ascii="Times New Roman" w:hAnsi="Times New Roman"/>
                <w:b/>
                <w:sz w:val="24"/>
                <w:szCs w:val="24"/>
              </w:rPr>
            </w:pPr>
            <w:r w:rsidRPr="00C37998">
              <w:rPr>
                <w:rFonts w:ascii="Times New Roman" w:hAnsi="Times New Roman"/>
                <w:b/>
                <w:sz w:val="24"/>
                <w:szCs w:val="24"/>
              </w:rPr>
              <w:t xml:space="preserve">Response </w:t>
            </w:r>
          </w:p>
          <w:p w14:paraId="6A208821" w14:textId="12C5D5B1" w:rsidR="00635101" w:rsidRPr="00C37998" w:rsidRDefault="003A1590" w:rsidP="003C6FCF">
            <w:pPr>
              <w:pStyle w:val="ListParagraph"/>
              <w:snapToGrid w:val="0"/>
              <w:spacing w:after="0" w:line="240" w:lineRule="auto"/>
              <w:ind w:left="0"/>
              <w:contextualSpacing w:val="0"/>
              <w:rPr>
                <w:rFonts w:ascii="Times New Roman" w:hAnsi="Times New Roman" w:cs="Times New Roman"/>
                <w:sz w:val="24"/>
                <w:szCs w:val="24"/>
              </w:rPr>
            </w:pPr>
            <w:r w:rsidRPr="00C37998">
              <w:rPr>
                <w:rFonts w:ascii="Times New Roman" w:hAnsi="Times New Roman" w:cs="Times New Roman"/>
                <w:i/>
                <w:iCs/>
                <w:sz w:val="24"/>
                <w:szCs w:val="24"/>
              </w:rPr>
              <w:t>(Please give clear reasoning to support your response</w:t>
            </w:r>
            <w:r w:rsidRPr="00C37998">
              <w:rPr>
                <w:rFonts w:ascii="Times New Roman" w:hAnsi="Times New Roman" w:cs="Times New Roman"/>
                <w:sz w:val="24"/>
                <w:szCs w:val="24"/>
              </w:rPr>
              <w:t>)</w:t>
            </w:r>
          </w:p>
          <w:p w14:paraId="5C995EF0" w14:textId="72E8DAD8" w:rsidR="003C6FCF" w:rsidRPr="00C37998" w:rsidRDefault="003C6FCF" w:rsidP="00C37998">
            <w:pPr>
              <w:pStyle w:val="ListParagraph"/>
              <w:snapToGrid w:val="0"/>
              <w:spacing w:after="0" w:line="240" w:lineRule="auto"/>
              <w:ind w:left="0"/>
              <w:contextualSpacing w:val="0"/>
              <w:rPr>
                <w:rFonts w:ascii="Times New Roman" w:hAnsi="Times New Roman" w:cs="Times New Roman"/>
                <w:b/>
                <w:sz w:val="24"/>
                <w:szCs w:val="24"/>
              </w:rPr>
            </w:pPr>
          </w:p>
        </w:tc>
      </w:tr>
      <w:tr w:rsidR="003C6FCF" w:rsidRPr="009F21A3" w14:paraId="00D96716" w14:textId="77777777">
        <w:tc>
          <w:tcPr>
            <w:tcW w:w="14029" w:type="dxa"/>
            <w:gridSpan w:val="3"/>
            <w:shd w:val="clear" w:color="auto" w:fill="000000" w:themeFill="text1"/>
          </w:tcPr>
          <w:p w14:paraId="063D830E" w14:textId="145EDCD9" w:rsidR="003C6FCF" w:rsidRPr="004C319F" w:rsidRDefault="004C319F" w:rsidP="003A1590">
            <w:pPr>
              <w:pStyle w:val="PlainText"/>
              <w:spacing w:before="60" w:after="60" w:line="360" w:lineRule="auto"/>
              <w:rPr>
                <w:rFonts w:ascii="Times New Roman" w:hAnsi="Times New Roman"/>
                <w:b/>
                <w:sz w:val="20"/>
                <w:szCs w:val="20"/>
              </w:rPr>
            </w:pPr>
            <w:r w:rsidRPr="00B33691">
              <w:rPr>
                <w:rFonts w:ascii="Times New Roman" w:eastAsia="Bookman Old Style" w:hAnsi="Times New Roman"/>
                <w:color w:val="FFFFFF" w:themeColor="background1"/>
                <w:sz w:val="24"/>
                <w:szCs w:val="24"/>
              </w:rPr>
              <w:t>Questions for respondents—Proposal to amend the Standard</w:t>
            </w:r>
          </w:p>
        </w:tc>
      </w:tr>
      <w:tr w:rsidR="00320F31" w:rsidRPr="009F21A3" w14:paraId="473107C6" w14:textId="77777777" w:rsidTr="00220A48">
        <w:tc>
          <w:tcPr>
            <w:tcW w:w="704" w:type="dxa"/>
            <w:shd w:val="clear" w:color="auto" w:fill="D9D9D9" w:themeFill="background1" w:themeFillShade="D9"/>
          </w:tcPr>
          <w:p w14:paraId="0C661443" w14:textId="5E32C2E3" w:rsidR="00320F31" w:rsidRPr="009F21A3" w:rsidRDefault="00320F31" w:rsidP="00C37998">
            <w:pPr>
              <w:pStyle w:val="ListParagraph"/>
              <w:spacing w:before="120" w:after="60" w:line="360" w:lineRule="auto"/>
              <w:ind w:left="0"/>
              <w:contextualSpacing w:val="0"/>
              <w:rPr>
                <w:rFonts w:ascii="Times New Roman" w:hAnsi="Times New Roman" w:cs="Times New Roman"/>
                <w:sz w:val="20"/>
                <w:szCs w:val="20"/>
              </w:rPr>
            </w:pPr>
            <w:r>
              <w:br w:type="page"/>
            </w:r>
            <w:r>
              <w:br w:type="page"/>
            </w:r>
            <w:r>
              <w:rPr>
                <w:rFonts w:ascii="Times New Roman" w:hAnsi="Times New Roman" w:cs="Times New Roman"/>
                <w:sz w:val="20"/>
                <w:szCs w:val="20"/>
              </w:rPr>
              <w:t>2</w:t>
            </w:r>
          </w:p>
        </w:tc>
        <w:tc>
          <w:tcPr>
            <w:tcW w:w="13325" w:type="dxa"/>
            <w:gridSpan w:val="2"/>
            <w:shd w:val="clear" w:color="auto" w:fill="D9D9D9" w:themeFill="background1" w:themeFillShade="D9"/>
          </w:tcPr>
          <w:p w14:paraId="39CEF0B8" w14:textId="77777777" w:rsidR="00320F31" w:rsidRDefault="00320F31" w:rsidP="004C319F">
            <w:pPr>
              <w:spacing w:before="120"/>
              <w:rPr>
                <w:rFonts w:ascii="Times New Roman" w:hAnsi="Times New Roman" w:cs="Times New Roman"/>
                <w:sz w:val="20"/>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2</w:t>
            </w:r>
            <w:r w:rsidRPr="00EA5F65">
              <w:rPr>
                <w:rStyle w:val="Heading2Char"/>
                <w:rFonts w:eastAsiaTheme="minorHAnsi" w:cs="Times New Roman"/>
                <w:szCs w:val="20"/>
              </w:rPr>
              <w:t>—</w:t>
            </w:r>
            <w:r>
              <w:rPr>
                <w:rStyle w:val="Heading2Char"/>
                <w:rFonts w:eastAsiaTheme="minorHAnsi" w:cs="Times New Roman"/>
                <w:szCs w:val="20"/>
              </w:rPr>
              <w:t xml:space="preserve">Revised Section 2 </w:t>
            </w:r>
            <w:r>
              <w:rPr>
                <w:rStyle w:val="Heading2Char"/>
                <w:rFonts w:eastAsiaTheme="minorHAnsi" w:cs="Times New Roman"/>
                <w:i/>
                <w:iCs/>
                <w:szCs w:val="20"/>
              </w:rPr>
              <w:t xml:space="preserve">Concepts and Pervasive Principles </w:t>
            </w:r>
            <w:r w:rsidRPr="004C319F">
              <w:rPr>
                <w:rFonts w:ascii="Times New Roman" w:hAnsi="Times New Roman" w:cs="Times New Roman"/>
                <w:sz w:val="20"/>
                <w:szCs w:val="20"/>
              </w:rPr>
              <w:t xml:space="preserve"> </w:t>
            </w:r>
          </w:p>
          <w:p w14:paraId="52F59E1B" w14:textId="77777777" w:rsidR="00320F31" w:rsidRDefault="00320F31" w:rsidP="004C319F">
            <w:pPr>
              <w:spacing w:before="120"/>
              <w:rPr>
                <w:rFonts w:ascii="Times New Roman" w:hAnsi="Times New Roman" w:cs="Times New Roman"/>
                <w:sz w:val="20"/>
                <w:szCs w:val="20"/>
              </w:rPr>
            </w:pPr>
            <w:r w:rsidRPr="004C319F">
              <w:rPr>
                <w:rFonts w:ascii="Times New Roman" w:hAnsi="Times New Roman" w:cs="Times New Roman"/>
                <w:sz w:val="20"/>
                <w:szCs w:val="20"/>
              </w:rPr>
              <w:t xml:space="preserve">The IASB in its Request for Information asked for views on aligning Section 2 </w:t>
            </w:r>
            <w:r w:rsidRPr="004C319F">
              <w:rPr>
                <w:rFonts w:ascii="Times New Roman" w:hAnsi="Times New Roman" w:cs="Times New Roman"/>
                <w:i/>
                <w:iCs/>
                <w:sz w:val="20"/>
                <w:szCs w:val="20"/>
              </w:rPr>
              <w:t>Concepts and Pervasive Principles</w:t>
            </w:r>
            <w:r w:rsidRPr="004C319F">
              <w:rPr>
                <w:rFonts w:ascii="Times New Roman" w:hAnsi="Times New Roman" w:cs="Times New Roman"/>
                <w:sz w:val="20"/>
                <w:szCs w:val="20"/>
              </w:rPr>
              <w:t xml:space="preserve"> with the </w:t>
            </w:r>
            <w:r w:rsidRPr="004C319F">
              <w:rPr>
                <w:rFonts w:ascii="Times New Roman" w:hAnsi="Times New Roman" w:cs="Times New Roman"/>
                <w:i/>
                <w:iCs/>
                <w:sz w:val="20"/>
                <w:szCs w:val="20"/>
              </w:rPr>
              <w:t>Conceptual Framework for Financial Reporting</w:t>
            </w:r>
            <w:r w:rsidRPr="004C319F">
              <w:rPr>
                <w:rFonts w:ascii="Times New Roman" w:hAnsi="Times New Roman" w:cs="Times New Roman"/>
                <w:sz w:val="20"/>
                <w:szCs w:val="20"/>
              </w:rPr>
              <w:t xml:space="preserve">, issued in 2018. In the Request for Information, the IASB noted that the 1989 </w:t>
            </w:r>
            <w:r w:rsidRPr="004C319F">
              <w:rPr>
                <w:rFonts w:ascii="Times New Roman" w:hAnsi="Times New Roman" w:cs="Times New Roman"/>
                <w:i/>
                <w:iCs/>
                <w:sz w:val="20"/>
                <w:szCs w:val="20"/>
              </w:rPr>
              <w:t>Framework for the Preparation and Presentation of Financial Statements</w:t>
            </w:r>
            <w:r w:rsidRPr="004C319F">
              <w:rPr>
                <w:rFonts w:ascii="Times New Roman" w:hAnsi="Times New Roman" w:cs="Times New Roman"/>
                <w:sz w:val="20"/>
                <w:szCs w:val="20"/>
              </w:rPr>
              <w:t xml:space="preserve"> (1989 </w:t>
            </w:r>
            <w:r w:rsidRPr="004C319F">
              <w:rPr>
                <w:rFonts w:ascii="Times New Roman" w:hAnsi="Times New Roman" w:cs="Times New Roman"/>
                <w:i/>
                <w:iCs/>
                <w:sz w:val="20"/>
                <w:szCs w:val="20"/>
              </w:rPr>
              <w:t>Framework</w:t>
            </w:r>
            <w:r w:rsidRPr="004C319F">
              <w:rPr>
                <w:rFonts w:ascii="Times New Roman" w:hAnsi="Times New Roman" w:cs="Times New Roman"/>
                <w:sz w:val="20"/>
                <w:szCs w:val="20"/>
              </w:rPr>
              <w:t xml:space="preserve">) had provided the foundations of the Standard. </w:t>
            </w:r>
          </w:p>
          <w:p w14:paraId="33BF54CA" w14:textId="77777777" w:rsidR="00320F31" w:rsidRDefault="00320F31" w:rsidP="004C319F">
            <w:pPr>
              <w:spacing w:before="120"/>
              <w:rPr>
                <w:rFonts w:ascii="Times New Roman" w:hAnsi="Times New Roman" w:cs="Times New Roman"/>
                <w:sz w:val="20"/>
                <w:szCs w:val="20"/>
              </w:rPr>
            </w:pPr>
            <w:r w:rsidRPr="004C319F">
              <w:rPr>
                <w:rFonts w:ascii="Times New Roman" w:hAnsi="Times New Roman" w:cs="Times New Roman"/>
                <w:sz w:val="20"/>
                <w:szCs w:val="20"/>
              </w:rPr>
              <w:t xml:space="preserve">Based on feedback on the Request for Information, the IASB is proposing to revise Section 2 to align it with the 2018 </w:t>
            </w:r>
            <w:r w:rsidRPr="004C319F">
              <w:rPr>
                <w:rFonts w:ascii="Times New Roman" w:hAnsi="Times New Roman" w:cs="Times New Roman"/>
                <w:i/>
                <w:iCs/>
                <w:sz w:val="20"/>
                <w:szCs w:val="20"/>
              </w:rPr>
              <w:t>Conceptual Framework for Financial Reporting</w:t>
            </w:r>
            <w:r w:rsidRPr="004C319F">
              <w:rPr>
                <w:rFonts w:ascii="Times New Roman" w:hAnsi="Times New Roman" w:cs="Times New Roman"/>
                <w:sz w:val="20"/>
                <w:szCs w:val="20"/>
              </w:rPr>
              <w:t xml:space="preserve">. </w:t>
            </w:r>
          </w:p>
          <w:p w14:paraId="4E24A133" w14:textId="77777777" w:rsidR="00320F31" w:rsidRDefault="00320F31" w:rsidP="004C319F">
            <w:pPr>
              <w:spacing w:before="120"/>
              <w:rPr>
                <w:rFonts w:ascii="Times New Roman" w:hAnsi="Times New Roman" w:cs="Times New Roman"/>
                <w:sz w:val="20"/>
                <w:szCs w:val="20"/>
              </w:rPr>
            </w:pPr>
            <w:r w:rsidRPr="004C319F">
              <w:rPr>
                <w:rFonts w:ascii="Times New Roman" w:hAnsi="Times New Roman" w:cs="Times New Roman"/>
                <w:sz w:val="20"/>
                <w:szCs w:val="20"/>
              </w:rPr>
              <w:t xml:space="preserve">The IASB is proposing that Section 18 </w:t>
            </w:r>
            <w:r w:rsidRPr="004C319F">
              <w:rPr>
                <w:rFonts w:ascii="Times New Roman" w:hAnsi="Times New Roman" w:cs="Times New Roman"/>
                <w:i/>
                <w:iCs/>
                <w:sz w:val="20"/>
                <w:szCs w:val="20"/>
              </w:rPr>
              <w:t>Intangible Assets other than Goodwill</w:t>
            </w:r>
            <w:r w:rsidRPr="004C319F">
              <w:rPr>
                <w:rFonts w:ascii="Times New Roman" w:hAnsi="Times New Roman" w:cs="Times New Roman"/>
                <w:sz w:val="20"/>
                <w:szCs w:val="20"/>
              </w:rPr>
              <w:t xml:space="preserve"> and Section 21 </w:t>
            </w:r>
            <w:r w:rsidRPr="004C319F">
              <w:rPr>
                <w:rFonts w:ascii="Times New Roman" w:hAnsi="Times New Roman" w:cs="Times New Roman"/>
                <w:i/>
                <w:iCs/>
                <w:sz w:val="20"/>
                <w:szCs w:val="20"/>
              </w:rPr>
              <w:t>Provisions and Contingencies</w:t>
            </w:r>
            <w:r w:rsidRPr="004C319F">
              <w:rPr>
                <w:rFonts w:ascii="Times New Roman" w:hAnsi="Times New Roman" w:cs="Times New Roman"/>
                <w:sz w:val="20"/>
                <w:szCs w:val="20"/>
              </w:rPr>
              <w:t xml:space="preserve"> continue to use the definitions of an asset and of a liability from the previous version of Section 2, which was based on the 1989 </w:t>
            </w:r>
            <w:r w:rsidRPr="004C319F">
              <w:rPr>
                <w:rFonts w:ascii="Times New Roman" w:hAnsi="Times New Roman" w:cs="Times New Roman"/>
                <w:i/>
                <w:iCs/>
                <w:sz w:val="20"/>
                <w:szCs w:val="20"/>
              </w:rPr>
              <w:t>Framework</w:t>
            </w:r>
            <w:r w:rsidRPr="004C319F">
              <w:rPr>
                <w:rFonts w:ascii="Times New Roman" w:hAnsi="Times New Roman" w:cs="Times New Roman"/>
                <w:sz w:val="20"/>
                <w:szCs w:val="20"/>
              </w:rPr>
              <w:t xml:space="preserve">, to avoid unintended consequences arising from revising the definitions of an asset and of a liability. </w:t>
            </w:r>
          </w:p>
          <w:p w14:paraId="01A23752" w14:textId="4AE2443A" w:rsidR="00320F31" w:rsidRPr="009F21A3" w:rsidRDefault="00320F31" w:rsidP="00235B38">
            <w:pPr>
              <w:pStyle w:val="ListParagraph"/>
              <w:snapToGrid w:val="0"/>
              <w:spacing w:before="60" w:after="60" w:line="360" w:lineRule="auto"/>
              <w:ind w:left="0"/>
              <w:contextualSpacing w:val="0"/>
              <w:rPr>
                <w:rFonts w:ascii="Times New Roman" w:hAnsi="Times New Roman" w:cs="Times New Roman"/>
                <w:b/>
                <w:sz w:val="20"/>
                <w:szCs w:val="20"/>
              </w:rPr>
            </w:pPr>
            <w:r w:rsidRPr="004C319F">
              <w:rPr>
                <w:rFonts w:ascii="Times New Roman" w:hAnsi="Times New Roman" w:cs="Times New Roman"/>
                <w:sz w:val="20"/>
                <w:szCs w:val="20"/>
              </w:rPr>
              <w:t>Paragraphs BC38–BC51 of the Basis for Conclusions on th</w:t>
            </w:r>
            <w:r w:rsidR="00E71E3B">
              <w:rPr>
                <w:rFonts w:ascii="Times New Roman" w:hAnsi="Times New Roman" w:cs="Times New Roman"/>
                <w:sz w:val="20"/>
                <w:szCs w:val="20"/>
              </w:rPr>
              <w:t>e</w:t>
            </w:r>
            <w:r w:rsidRPr="004C319F">
              <w:rPr>
                <w:rFonts w:ascii="Times New Roman" w:hAnsi="Times New Roman" w:cs="Times New Roman"/>
                <w:sz w:val="20"/>
                <w:szCs w:val="20"/>
              </w:rPr>
              <w:t xml:space="preserve"> Exposure Draft explain the IASB’s rationale for the revisions proposed for Section 2.</w:t>
            </w:r>
          </w:p>
        </w:tc>
      </w:tr>
      <w:tr w:rsidR="00475950" w:rsidRPr="009F21A3" w14:paraId="56C53F2D" w14:textId="77777777" w:rsidTr="00B83B48">
        <w:tc>
          <w:tcPr>
            <w:tcW w:w="704" w:type="dxa"/>
            <w:shd w:val="clear" w:color="auto" w:fill="auto"/>
          </w:tcPr>
          <w:p w14:paraId="3F041F9B" w14:textId="3B854512" w:rsidR="00475950" w:rsidRPr="009F21A3" w:rsidRDefault="004C319F" w:rsidP="00235B38">
            <w:pPr>
              <w:pStyle w:val="ListParagraph"/>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2(i)</w:t>
            </w:r>
          </w:p>
        </w:tc>
        <w:tc>
          <w:tcPr>
            <w:tcW w:w="7512" w:type="dxa"/>
            <w:shd w:val="clear" w:color="auto" w:fill="auto"/>
          </w:tcPr>
          <w:p w14:paraId="10917E30" w14:textId="1966E32F" w:rsidR="008861BB" w:rsidRPr="004C319F" w:rsidRDefault="004C319F" w:rsidP="004C319F">
            <w:pPr>
              <w:pStyle w:val="TableParagraph"/>
              <w:spacing w:before="120" w:line="276" w:lineRule="auto"/>
              <w:ind w:left="0"/>
              <w:rPr>
                <w:rFonts w:ascii="Times New Roman" w:hAnsi="Times New Roman" w:cs="Times New Roman"/>
                <w:b/>
                <w:bCs/>
                <w:i/>
                <w:iCs/>
                <w:sz w:val="20"/>
                <w:szCs w:val="20"/>
                <w:lang w:val="en-GB"/>
              </w:rPr>
            </w:pPr>
            <w:r w:rsidRPr="004C319F">
              <w:rPr>
                <w:rFonts w:ascii="Times New Roman" w:hAnsi="Times New Roman" w:cs="Times New Roman"/>
                <w:b/>
                <w:bCs/>
                <w:sz w:val="20"/>
                <w:szCs w:val="20"/>
              </w:rPr>
              <w:t>Do you have comments or suggestions on the revised Section 2? Please explain the reasons for your suggestions.</w:t>
            </w:r>
          </w:p>
        </w:tc>
        <w:tc>
          <w:tcPr>
            <w:tcW w:w="5813" w:type="dxa"/>
            <w:shd w:val="clear" w:color="auto" w:fill="auto"/>
          </w:tcPr>
          <w:p w14:paraId="38A2C0A5" w14:textId="77777777" w:rsidR="00475950" w:rsidRPr="009F21A3" w:rsidRDefault="00475950"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28B25699" w14:textId="77777777" w:rsidTr="00320F31">
        <w:tc>
          <w:tcPr>
            <w:tcW w:w="704" w:type="dxa"/>
            <w:tcBorders>
              <w:bottom w:val="single" w:sz="4" w:space="0" w:color="auto"/>
            </w:tcBorders>
            <w:shd w:val="clear" w:color="auto" w:fill="auto"/>
          </w:tcPr>
          <w:p w14:paraId="681574E4" w14:textId="6B6B4B09" w:rsidR="00603888" w:rsidRPr="009F21A3" w:rsidRDefault="004C319F"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2(ii)</w:t>
            </w:r>
          </w:p>
        </w:tc>
        <w:tc>
          <w:tcPr>
            <w:tcW w:w="7512" w:type="dxa"/>
            <w:tcBorders>
              <w:bottom w:val="single" w:sz="4" w:space="0" w:color="auto"/>
            </w:tcBorders>
            <w:shd w:val="clear" w:color="auto" w:fill="auto"/>
          </w:tcPr>
          <w:p w14:paraId="272402F6" w14:textId="4553B4D1" w:rsidR="00B33691" w:rsidRPr="00B33691" w:rsidRDefault="00B33691" w:rsidP="00C37998">
            <w:pPr>
              <w:pStyle w:val="TableParagraph"/>
              <w:spacing w:before="120" w:after="120" w:line="276" w:lineRule="auto"/>
              <w:ind w:left="0"/>
              <w:rPr>
                <w:rFonts w:ascii="Times New Roman" w:hAnsi="Times New Roman" w:cs="Times New Roman"/>
                <w:b/>
                <w:bCs/>
                <w:sz w:val="20"/>
                <w:szCs w:val="20"/>
              </w:rPr>
            </w:pPr>
            <w:r w:rsidRPr="00B33691">
              <w:rPr>
                <w:rFonts w:ascii="Times New Roman" w:hAnsi="Times New Roman" w:cs="Times New Roman"/>
                <w:b/>
                <w:bCs/>
                <w:sz w:val="20"/>
                <w:szCs w:val="20"/>
              </w:rPr>
              <w:t>Do you agree that Section 18 and Section 21 should continue to use the definition of an asset and of a liability from the previous version of Section 2 (based on the 1989 Framework)?</w:t>
            </w:r>
          </w:p>
        </w:tc>
        <w:tc>
          <w:tcPr>
            <w:tcW w:w="5813" w:type="dxa"/>
            <w:tcBorders>
              <w:bottom w:val="single" w:sz="4" w:space="0" w:color="auto"/>
            </w:tcBorders>
            <w:shd w:val="clear" w:color="auto" w:fill="auto"/>
          </w:tcPr>
          <w:p w14:paraId="2B925ACE"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3A1C8B" w:rsidRPr="009F21A3" w14:paraId="36954935" w14:textId="77777777" w:rsidTr="00320F31">
        <w:trPr>
          <w:cantSplit/>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0E32D" w14:textId="40E0A5D6" w:rsidR="003A1C8B" w:rsidRPr="009F21A3" w:rsidRDefault="003A1C8B"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lastRenderedPageBreak/>
              <w:t>3</w:t>
            </w:r>
          </w:p>
        </w:tc>
        <w:tc>
          <w:tcPr>
            <w:tcW w:w="133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1706FF" w14:textId="77777777" w:rsidR="003A1C8B" w:rsidRPr="00B33691" w:rsidRDefault="003A1C8B" w:rsidP="00B33691">
            <w:pPr>
              <w:spacing w:before="120"/>
              <w:rPr>
                <w:rFonts w:ascii="Times New Roman" w:hAnsi="Times New Roman" w:cs="Times New Roman"/>
                <w:i/>
                <w:iCs/>
                <w:sz w:val="20"/>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3</w:t>
            </w:r>
            <w:r w:rsidRPr="00EA5F65">
              <w:rPr>
                <w:rStyle w:val="Heading2Char"/>
                <w:rFonts w:eastAsiaTheme="minorHAnsi" w:cs="Times New Roman"/>
                <w:szCs w:val="20"/>
              </w:rPr>
              <w:t>—</w:t>
            </w:r>
            <w:r>
              <w:rPr>
                <w:rStyle w:val="Heading2Char"/>
                <w:rFonts w:eastAsiaTheme="minorHAnsi" w:cs="Times New Roman"/>
                <w:szCs w:val="20"/>
              </w:rPr>
              <w:t xml:space="preserve">Proposed amendments to the definition of control in Section 9 </w:t>
            </w:r>
            <w:r>
              <w:rPr>
                <w:rStyle w:val="Heading2Char"/>
                <w:rFonts w:eastAsiaTheme="minorHAnsi" w:cs="Times New Roman"/>
                <w:i/>
                <w:iCs/>
                <w:szCs w:val="20"/>
              </w:rPr>
              <w:t xml:space="preserve">Consolidated and Separate Financial Statements </w:t>
            </w:r>
          </w:p>
          <w:p w14:paraId="2E743A5B" w14:textId="77777777" w:rsidR="003A1C8B" w:rsidRDefault="003A1C8B" w:rsidP="00236671">
            <w:pPr>
              <w:spacing w:before="120"/>
              <w:rPr>
                <w:rFonts w:ascii="Times New Roman" w:hAnsi="Times New Roman" w:cs="Times New Roman"/>
                <w:sz w:val="20"/>
                <w:szCs w:val="20"/>
              </w:rPr>
            </w:pPr>
            <w:r w:rsidRPr="00236671">
              <w:rPr>
                <w:rFonts w:ascii="Times New Roman" w:hAnsi="Times New Roman" w:cs="Times New Roman"/>
                <w:sz w:val="20"/>
                <w:szCs w:val="20"/>
              </w:rPr>
              <w:t xml:space="preserve">The IASB in its Request for Information asked for views on aligning the definition of control in Section 9 </w:t>
            </w:r>
            <w:r w:rsidRPr="00E11060">
              <w:rPr>
                <w:rFonts w:ascii="Times New Roman" w:hAnsi="Times New Roman" w:cs="Times New Roman"/>
                <w:i/>
                <w:iCs/>
                <w:sz w:val="20"/>
                <w:szCs w:val="20"/>
              </w:rPr>
              <w:t>Consolidated and Separate Financial Statements</w:t>
            </w:r>
            <w:r w:rsidRPr="00236671">
              <w:rPr>
                <w:rFonts w:ascii="Times New Roman" w:hAnsi="Times New Roman" w:cs="Times New Roman"/>
                <w:sz w:val="20"/>
                <w:szCs w:val="20"/>
              </w:rPr>
              <w:t xml:space="preserve"> with the definition in IFRS 10 </w:t>
            </w:r>
            <w:r w:rsidRPr="00E11060">
              <w:rPr>
                <w:rFonts w:ascii="Times New Roman" w:hAnsi="Times New Roman" w:cs="Times New Roman"/>
                <w:i/>
                <w:iCs/>
                <w:sz w:val="20"/>
                <w:szCs w:val="20"/>
              </w:rPr>
              <w:t>Consolidated Financial Statements</w:t>
            </w:r>
            <w:r w:rsidRPr="00236671">
              <w:rPr>
                <w:rFonts w:ascii="Times New Roman" w:hAnsi="Times New Roman" w:cs="Times New Roman"/>
                <w:sz w:val="20"/>
                <w:szCs w:val="20"/>
              </w:rPr>
              <w:t xml:space="preserve"> and using that definition as the single basis for consolidation (control model) to facilitate greater consistency between financial statements prepared applying the Standard. </w:t>
            </w:r>
          </w:p>
          <w:p w14:paraId="3BEF871B" w14:textId="77777777" w:rsidR="003A1C8B" w:rsidRDefault="003A1C8B" w:rsidP="00236671">
            <w:pPr>
              <w:spacing w:before="120"/>
              <w:rPr>
                <w:rFonts w:ascii="Times New Roman" w:hAnsi="Times New Roman" w:cs="Times New Roman"/>
                <w:sz w:val="20"/>
                <w:szCs w:val="20"/>
              </w:rPr>
            </w:pPr>
            <w:r w:rsidRPr="00236671">
              <w:rPr>
                <w:rFonts w:ascii="Times New Roman" w:hAnsi="Times New Roman" w:cs="Times New Roman"/>
                <w:sz w:val="20"/>
                <w:szCs w:val="20"/>
              </w:rPr>
              <w:t xml:space="preserve">Respondents to the Request for Information were in favour of the alignment, and the IASB is proposing amendments to align Section 9 with IFRS 10, introducing control as the single basis for consolidation that applies to all entities. </w:t>
            </w:r>
          </w:p>
          <w:p w14:paraId="6F1EECAD" w14:textId="77777777" w:rsidR="003A1C8B" w:rsidRDefault="003A1C8B" w:rsidP="00236671">
            <w:pPr>
              <w:spacing w:before="120"/>
              <w:rPr>
                <w:rFonts w:ascii="Times New Roman" w:hAnsi="Times New Roman" w:cs="Times New Roman"/>
                <w:sz w:val="20"/>
                <w:szCs w:val="20"/>
              </w:rPr>
            </w:pPr>
            <w:r w:rsidRPr="00236671">
              <w:rPr>
                <w:rFonts w:ascii="Times New Roman" w:hAnsi="Times New Roman" w:cs="Times New Roman"/>
                <w:sz w:val="20"/>
                <w:szCs w:val="20"/>
              </w:rPr>
              <w:t xml:space="preserve">The IASB is proposing to retain the rebuttable presumption that control exists when an investor owns more than a majority of the voting rights of an investee. The rebuttable presumption is a simplification of the control model. </w:t>
            </w:r>
          </w:p>
          <w:p w14:paraId="0A13D9C0" w14:textId="37F2C6F9" w:rsidR="003A1C8B" w:rsidRPr="009F21A3" w:rsidRDefault="003A1C8B" w:rsidP="007B5ED9">
            <w:pPr>
              <w:spacing w:before="120"/>
              <w:rPr>
                <w:rFonts w:ascii="Times New Roman" w:hAnsi="Times New Roman" w:cs="Times New Roman"/>
                <w:b/>
                <w:sz w:val="20"/>
                <w:szCs w:val="20"/>
              </w:rPr>
            </w:pPr>
            <w:r w:rsidRPr="00236671">
              <w:rPr>
                <w:rFonts w:ascii="Times New Roman" w:hAnsi="Times New Roman" w:cs="Times New Roman"/>
                <w:sz w:val="20"/>
                <w:szCs w:val="20"/>
              </w:rPr>
              <w:t>Paragraphs BC52–BC62 of the Basis for Conclusions on th</w:t>
            </w:r>
            <w:r w:rsidR="00E71E3B">
              <w:rPr>
                <w:rFonts w:ascii="Times New Roman" w:hAnsi="Times New Roman" w:cs="Times New Roman"/>
                <w:sz w:val="20"/>
                <w:szCs w:val="20"/>
              </w:rPr>
              <w:t>e</w:t>
            </w:r>
            <w:r w:rsidRPr="00236671">
              <w:rPr>
                <w:rFonts w:ascii="Times New Roman" w:hAnsi="Times New Roman" w:cs="Times New Roman"/>
                <w:sz w:val="20"/>
                <w:szCs w:val="20"/>
              </w:rPr>
              <w:t xml:space="preserve"> Exposure Draft explain the IASB’s rationale for aligning the definition of ‘control’ in Section 9 with IFRS 10 and introducing a control model as the single basis for consolidation. </w:t>
            </w:r>
          </w:p>
        </w:tc>
      </w:tr>
      <w:tr w:rsidR="00236671" w:rsidRPr="009F21A3" w14:paraId="0DE55000" w14:textId="77777777" w:rsidTr="00320F3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3877957" w14:textId="77777777" w:rsidR="00236671" w:rsidRDefault="00236671" w:rsidP="00C37998">
            <w:pPr>
              <w:pStyle w:val="ListParagraph"/>
              <w:spacing w:before="120" w:after="60" w:line="360" w:lineRule="auto"/>
              <w:ind w:left="0"/>
              <w:contextualSpacing w:val="0"/>
              <w:rPr>
                <w:rFonts w:ascii="Times New Roman" w:hAnsi="Times New Roman" w:cs="Times New Roman"/>
                <w:sz w:val="20"/>
                <w:szCs w:val="20"/>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F46C842" w14:textId="6B52AA03" w:rsidR="00236671" w:rsidRPr="00EA5F65" w:rsidRDefault="00236671" w:rsidP="00B33691">
            <w:pPr>
              <w:spacing w:before="120"/>
              <w:rPr>
                <w:rStyle w:val="Heading2Char"/>
                <w:rFonts w:eastAsiaTheme="minorHAnsi" w:cs="Times New Roman"/>
                <w:szCs w:val="20"/>
              </w:rPr>
            </w:pPr>
            <w:r w:rsidRPr="00236671">
              <w:rPr>
                <w:rFonts w:ascii="Times New Roman" w:hAnsi="Times New Roman" w:cs="Times New Roman"/>
                <w:b/>
                <w:bCs/>
                <w:sz w:val="20"/>
                <w:szCs w:val="20"/>
              </w:rPr>
              <w:t>Do you agree with the IASB’s proposal to retain the rebuttable presumption as a simplification of the definition of control? If not, please explain why you do not agree with this simplification.</w:t>
            </w:r>
          </w:p>
        </w:tc>
        <w:tc>
          <w:tcPr>
            <w:tcW w:w="5813" w:type="dxa"/>
            <w:tcBorders>
              <w:top w:val="single" w:sz="4" w:space="0" w:color="auto"/>
              <w:left w:val="single" w:sz="4" w:space="0" w:color="auto"/>
              <w:bottom w:val="single" w:sz="4" w:space="0" w:color="auto"/>
              <w:right w:val="single" w:sz="4" w:space="0" w:color="auto"/>
            </w:tcBorders>
            <w:shd w:val="clear" w:color="auto" w:fill="auto"/>
          </w:tcPr>
          <w:p w14:paraId="697D7B05" w14:textId="77777777" w:rsidR="00236671" w:rsidRPr="009F21A3" w:rsidRDefault="00236671"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320F31" w:rsidRPr="009F21A3" w14:paraId="75AA818F" w14:textId="77777777" w:rsidTr="00220A48">
        <w:trPr>
          <w:cantSplit/>
        </w:trPr>
        <w:tc>
          <w:tcPr>
            <w:tcW w:w="704" w:type="dxa"/>
            <w:tcBorders>
              <w:top w:val="single" w:sz="4" w:space="0" w:color="auto"/>
            </w:tcBorders>
            <w:shd w:val="clear" w:color="auto" w:fill="D9D9D9" w:themeFill="background1" w:themeFillShade="D9"/>
          </w:tcPr>
          <w:p w14:paraId="18264169" w14:textId="22110FDD" w:rsidR="00320F31" w:rsidRPr="009F21A3" w:rsidRDefault="00320F31"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3325" w:type="dxa"/>
            <w:gridSpan w:val="2"/>
            <w:tcBorders>
              <w:top w:val="single" w:sz="4" w:space="0" w:color="auto"/>
            </w:tcBorders>
            <w:shd w:val="clear" w:color="auto" w:fill="D9D9D9" w:themeFill="background1" w:themeFillShade="D9"/>
          </w:tcPr>
          <w:p w14:paraId="4A772E9C" w14:textId="77777777" w:rsidR="00320F31" w:rsidRPr="00236671" w:rsidRDefault="00320F31" w:rsidP="00236671">
            <w:pPr>
              <w:spacing w:before="120"/>
              <w:rPr>
                <w:rFonts w:ascii="Times New Roman" w:hAnsi="Times New Roman" w:cs="Times New Roman"/>
                <w:i/>
                <w:iCs/>
                <w:sz w:val="20"/>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4</w:t>
            </w:r>
            <w:r w:rsidRPr="00EA5F65">
              <w:rPr>
                <w:rStyle w:val="Heading2Char"/>
                <w:rFonts w:eastAsiaTheme="minorHAnsi" w:cs="Times New Roman"/>
                <w:szCs w:val="20"/>
              </w:rPr>
              <w:t>—</w:t>
            </w:r>
            <w:r>
              <w:rPr>
                <w:rStyle w:val="Heading2Char"/>
                <w:rFonts w:eastAsiaTheme="minorHAnsi" w:cs="Times New Roman"/>
                <w:szCs w:val="20"/>
              </w:rPr>
              <w:t xml:space="preserve">Proposed amendments to impairment of financial assets in Section 11 </w:t>
            </w:r>
            <w:r>
              <w:rPr>
                <w:rStyle w:val="Heading2Char"/>
                <w:rFonts w:eastAsiaTheme="minorHAnsi" w:cs="Times New Roman"/>
                <w:i/>
                <w:iCs/>
                <w:szCs w:val="20"/>
              </w:rPr>
              <w:t xml:space="preserve">Basic Financial Instruments </w:t>
            </w:r>
            <w:r>
              <w:rPr>
                <w:rStyle w:val="Heading2Char"/>
                <w:rFonts w:eastAsiaTheme="minorHAnsi" w:cs="Times New Roman"/>
                <w:szCs w:val="20"/>
              </w:rPr>
              <w:t xml:space="preserve">(renamed </w:t>
            </w:r>
            <w:r>
              <w:rPr>
                <w:rStyle w:val="Heading2Char"/>
                <w:rFonts w:eastAsiaTheme="minorHAnsi" w:cs="Times New Roman"/>
                <w:i/>
                <w:iCs/>
                <w:szCs w:val="20"/>
              </w:rPr>
              <w:t>Financial Instruments</w:t>
            </w:r>
            <w:r>
              <w:rPr>
                <w:rStyle w:val="Heading2Char"/>
                <w:rFonts w:eastAsiaTheme="minorHAnsi" w:cs="Times New Roman"/>
                <w:szCs w:val="20"/>
              </w:rPr>
              <w:t>)</w:t>
            </w:r>
            <w:r>
              <w:rPr>
                <w:rStyle w:val="Heading2Char"/>
                <w:rFonts w:eastAsiaTheme="minorHAnsi" w:cs="Times New Roman"/>
                <w:i/>
                <w:iCs/>
                <w:szCs w:val="20"/>
              </w:rPr>
              <w:t xml:space="preserve"> </w:t>
            </w:r>
          </w:p>
          <w:p w14:paraId="5943E75E" w14:textId="77777777" w:rsidR="00320F31" w:rsidRDefault="00320F31" w:rsidP="00543605">
            <w:pPr>
              <w:spacing w:before="120" w:after="120"/>
              <w:rPr>
                <w:rFonts w:ascii="Times New Roman" w:hAnsi="Times New Roman" w:cs="Times New Roman"/>
                <w:sz w:val="20"/>
                <w:szCs w:val="20"/>
              </w:rPr>
            </w:pPr>
            <w:r w:rsidRPr="00543605">
              <w:rPr>
                <w:rFonts w:ascii="Times New Roman" w:hAnsi="Times New Roman" w:cs="Times New Roman"/>
                <w:sz w:val="20"/>
                <w:szCs w:val="20"/>
              </w:rPr>
              <w:t xml:space="preserve">The IASB in its Request for Information asked for views on replacing the incurred loss model for the impairment of financial assets in Section 11 </w:t>
            </w:r>
            <w:r w:rsidRPr="00543605">
              <w:rPr>
                <w:rFonts w:ascii="Times New Roman" w:hAnsi="Times New Roman" w:cs="Times New Roman"/>
                <w:i/>
                <w:iCs/>
                <w:sz w:val="20"/>
                <w:szCs w:val="20"/>
              </w:rPr>
              <w:t>Basic Financial Instruments</w:t>
            </w:r>
            <w:r w:rsidRPr="00543605">
              <w:rPr>
                <w:rFonts w:ascii="Times New Roman" w:hAnsi="Times New Roman" w:cs="Times New Roman"/>
                <w:sz w:val="20"/>
                <w:szCs w:val="20"/>
              </w:rPr>
              <w:t xml:space="preserve"> with an expected credit loss model aligned with the simplified approach in IFRS 9 </w:t>
            </w:r>
            <w:r w:rsidRPr="00E11060">
              <w:rPr>
                <w:rFonts w:ascii="Times New Roman" w:hAnsi="Times New Roman" w:cs="Times New Roman"/>
                <w:i/>
                <w:iCs/>
                <w:sz w:val="20"/>
                <w:szCs w:val="20"/>
              </w:rPr>
              <w:t>Financial Instruments</w:t>
            </w:r>
            <w:r w:rsidRPr="00543605">
              <w:rPr>
                <w:rFonts w:ascii="Times New Roman" w:hAnsi="Times New Roman" w:cs="Times New Roman"/>
                <w:sz w:val="20"/>
                <w:szCs w:val="20"/>
              </w:rPr>
              <w:t xml:space="preserve">. Feedback suggested that the simplified approach in IFRS 9 would be complex for SMEs to apply and would not result in substantial changes in the amount of impairment for the types of financial assets held by typical SMEs, namely short-term trade receivables. </w:t>
            </w:r>
          </w:p>
          <w:p w14:paraId="1D0FF30B" w14:textId="77777777" w:rsidR="00320F31" w:rsidRDefault="00320F31" w:rsidP="00543605">
            <w:pPr>
              <w:spacing w:before="120" w:after="120"/>
              <w:rPr>
                <w:rFonts w:ascii="Times New Roman" w:hAnsi="Times New Roman" w:cs="Times New Roman"/>
                <w:sz w:val="20"/>
                <w:szCs w:val="20"/>
              </w:rPr>
            </w:pPr>
            <w:r w:rsidRPr="00543605">
              <w:rPr>
                <w:rFonts w:ascii="Times New Roman" w:hAnsi="Times New Roman" w:cs="Times New Roman"/>
                <w:sz w:val="20"/>
                <w:szCs w:val="20"/>
              </w:rPr>
              <w:t xml:space="preserve">The IASB anticipates that an expected credit loss model would provide relevant information for users of financial statements when SMEs hold longer-term financial assets. Consequently, the IASB is proposing to: </w:t>
            </w:r>
          </w:p>
          <w:p w14:paraId="07EBA412" w14:textId="77777777" w:rsidR="00320F31" w:rsidRDefault="00320F31" w:rsidP="00543605">
            <w:pPr>
              <w:pStyle w:val="Boardpaperlevel2"/>
              <w:numPr>
                <w:ilvl w:val="0"/>
                <w:numId w:val="28"/>
              </w:numPr>
              <w:spacing w:before="120" w:line="276" w:lineRule="auto"/>
              <w:ind w:right="0"/>
              <w:rPr>
                <w:sz w:val="20"/>
                <w:szCs w:val="20"/>
              </w:rPr>
            </w:pPr>
            <w:r w:rsidRPr="00543605">
              <w:rPr>
                <w:sz w:val="20"/>
                <w:szCs w:val="20"/>
              </w:rPr>
              <w:t xml:space="preserve">retain the incurred loss model for trade receivables and contract assets in the scope of the revised Section 23 </w:t>
            </w:r>
            <w:r w:rsidRPr="00266E6E">
              <w:rPr>
                <w:i/>
                <w:iCs/>
                <w:sz w:val="20"/>
                <w:szCs w:val="20"/>
              </w:rPr>
              <w:t>Revenue from Contracts with Customers</w:t>
            </w:r>
            <w:r w:rsidRPr="00543605">
              <w:rPr>
                <w:sz w:val="20"/>
                <w:szCs w:val="20"/>
              </w:rPr>
              <w:t xml:space="preserve">; </w:t>
            </w:r>
          </w:p>
          <w:p w14:paraId="76020D6B" w14:textId="77777777" w:rsidR="00320F31" w:rsidRDefault="00320F31" w:rsidP="00543605">
            <w:pPr>
              <w:pStyle w:val="Boardpaperlevel2"/>
              <w:numPr>
                <w:ilvl w:val="0"/>
                <w:numId w:val="28"/>
              </w:numPr>
              <w:spacing w:before="120" w:line="276" w:lineRule="auto"/>
              <w:ind w:right="0"/>
              <w:rPr>
                <w:sz w:val="20"/>
                <w:szCs w:val="20"/>
              </w:rPr>
            </w:pPr>
            <w:r w:rsidRPr="00543605">
              <w:rPr>
                <w:sz w:val="20"/>
                <w:szCs w:val="20"/>
              </w:rPr>
              <w:t xml:space="preserve">require an expected credit loss model for all other financial assets measured at amortised cost, aligned with the simplified approach in IFRS 9; and </w:t>
            </w:r>
          </w:p>
          <w:p w14:paraId="47C9BBA1" w14:textId="77777777" w:rsidR="00320F31" w:rsidRPr="00543605" w:rsidRDefault="00320F31" w:rsidP="00543605">
            <w:pPr>
              <w:pStyle w:val="Boardpaperlevel2"/>
              <w:numPr>
                <w:ilvl w:val="0"/>
                <w:numId w:val="28"/>
              </w:numPr>
              <w:spacing w:before="120" w:line="276" w:lineRule="auto"/>
              <w:ind w:right="0"/>
              <w:rPr>
                <w:b/>
                <w:sz w:val="20"/>
                <w:szCs w:val="20"/>
              </w:rPr>
            </w:pPr>
            <w:r w:rsidRPr="00543605">
              <w:rPr>
                <w:sz w:val="20"/>
                <w:szCs w:val="20"/>
              </w:rPr>
              <w:t xml:space="preserve">retain the requirements in Section 11 for impairment of equity instruments measured at cost. </w:t>
            </w:r>
          </w:p>
          <w:p w14:paraId="7DB075F7" w14:textId="59DCE436" w:rsidR="00320F31" w:rsidRPr="009F21A3" w:rsidRDefault="00320F31" w:rsidP="00AD3BA4">
            <w:pPr>
              <w:spacing w:before="120" w:after="120"/>
              <w:rPr>
                <w:rFonts w:ascii="Times New Roman" w:hAnsi="Times New Roman" w:cs="Times New Roman"/>
                <w:b/>
                <w:sz w:val="20"/>
                <w:szCs w:val="20"/>
              </w:rPr>
            </w:pPr>
            <w:r w:rsidRPr="00AD3BA4">
              <w:rPr>
                <w:rFonts w:ascii="Times New Roman" w:hAnsi="Times New Roman" w:cs="Times New Roman"/>
                <w:sz w:val="20"/>
                <w:szCs w:val="20"/>
              </w:rPr>
              <w:t>Paragraphs BC72–BC80 of the Basis for Conclusions on th</w:t>
            </w:r>
            <w:r w:rsidR="00E71E3B">
              <w:rPr>
                <w:rFonts w:ascii="Times New Roman" w:hAnsi="Times New Roman" w:cs="Times New Roman"/>
                <w:sz w:val="20"/>
                <w:szCs w:val="20"/>
              </w:rPr>
              <w:t>e</w:t>
            </w:r>
            <w:r w:rsidRPr="00AD3BA4">
              <w:rPr>
                <w:rFonts w:ascii="Times New Roman" w:hAnsi="Times New Roman" w:cs="Times New Roman"/>
                <w:sz w:val="20"/>
                <w:szCs w:val="20"/>
              </w:rPr>
              <w:t xml:space="preserve"> Exposure Draft explain the IASB’s rationale for introducing an expected credit loss model for only some financial assets</w:t>
            </w:r>
            <w:r w:rsidR="00047BC0">
              <w:rPr>
                <w:rFonts w:ascii="Times New Roman" w:hAnsi="Times New Roman" w:cs="Times New Roman"/>
                <w:sz w:val="20"/>
                <w:szCs w:val="20"/>
              </w:rPr>
              <w:t>.</w:t>
            </w:r>
            <w:r w:rsidRPr="00543605">
              <w:rPr>
                <w:sz w:val="18"/>
                <w:szCs w:val="18"/>
              </w:rPr>
              <w:t xml:space="preserve"> </w:t>
            </w:r>
          </w:p>
        </w:tc>
      </w:tr>
      <w:tr w:rsidR="00F37130" w:rsidRPr="009F21A3" w14:paraId="65DEC66A" w14:textId="77777777" w:rsidTr="00B83B48">
        <w:tc>
          <w:tcPr>
            <w:tcW w:w="704" w:type="dxa"/>
            <w:shd w:val="clear" w:color="auto" w:fill="auto"/>
          </w:tcPr>
          <w:p w14:paraId="29393C78" w14:textId="391EA27F" w:rsidR="00F37130" w:rsidRPr="009F21A3" w:rsidRDefault="00543605" w:rsidP="00235B38">
            <w:pPr>
              <w:pStyle w:val="ListParagraph"/>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4(i)</w:t>
            </w:r>
          </w:p>
        </w:tc>
        <w:tc>
          <w:tcPr>
            <w:tcW w:w="7512" w:type="dxa"/>
            <w:shd w:val="clear" w:color="auto" w:fill="auto"/>
          </w:tcPr>
          <w:p w14:paraId="677F26CB" w14:textId="0A2BCDDA" w:rsidR="00F37130" w:rsidRPr="00543605" w:rsidRDefault="00543605" w:rsidP="00543605">
            <w:pPr>
              <w:spacing w:before="120"/>
              <w:rPr>
                <w:rFonts w:ascii="Times New Roman" w:hAnsi="Times New Roman" w:cs="Times New Roman"/>
                <w:b/>
                <w:bCs/>
                <w:sz w:val="20"/>
                <w:szCs w:val="20"/>
              </w:rPr>
            </w:pPr>
            <w:r w:rsidRPr="00543605">
              <w:rPr>
                <w:rFonts w:ascii="Times New Roman" w:hAnsi="Times New Roman" w:cs="Times New Roman"/>
                <w:b/>
                <w:bCs/>
                <w:sz w:val="20"/>
                <w:szCs w:val="20"/>
              </w:rPr>
              <w:t xml:space="preserve">Do you agree with the proposal to introduce an expected credit loss model for </w:t>
            </w:r>
            <w:r w:rsidRPr="00543605">
              <w:rPr>
                <w:rFonts w:ascii="Times New Roman" w:hAnsi="Times New Roman" w:cs="Times New Roman"/>
                <w:b/>
                <w:bCs/>
                <w:i/>
                <w:iCs/>
                <w:sz w:val="20"/>
                <w:szCs w:val="20"/>
              </w:rPr>
              <w:t>only some</w:t>
            </w:r>
            <w:r w:rsidRPr="00543605">
              <w:rPr>
                <w:rFonts w:ascii="Times New Roman" w:hAnsi="Times New Roman" w:cs="Times New Roman"/>
                <w:b/>
                <w:bCs/>
                <w:sz w:val="20"/>
                <w:szCs w:val="20"/>
              </w:rPr>
              <w:t xml:space="preserve"> financial assets? Why or why not? If you disagree with the proposal, please explain what you suggest instead and why</w:t>
            </w:r>
            <w:r w:rsidR="00047BC0">
              <w:rPr>
                <w:rFonts w:ascii="Times New Roman" w:hAnsi="Times New Roman" w:cs="Times New Roman"/>
                <w:b/>
                <w:bCs/>
                <w:sz w:val="20"/>
                <w:szCs w:val="20"/>
              </w:rPr>
              <w:t>.</w:t>
            </w:r>
          </w:p>
        </w:tc>
        <w:tc>
          <w:tcPr>
            <w:tcW w:w="5813" w:type="dxa"/>
            <w:shd w:val="clear" w:color="auto" w:fill="auto"/>
          </w:tcPr>
          <w:p w14:paraId="14002D83" w14:textId="77777777" w:rsidR="00F37130" w:rsidRPr="009F21A3" w:rsidRDefault="00F37130"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60861C77" w14:textId="77777777" w:rsidTr="00B83B48">
        <w:tc>
          <w:tcPr>
            <w:tcW w:w="704" w:type="dxa"/>
            <w:shd w:val="clear" w:color="auto" w:fill="auto"/>
          </w:tcPr>
          <w:p w14:paraId="2E6EC9D1" w14:textId="6D11401B" w:rsidR="00603888" w:rsidRPr="009F21A3" w:rsidRDefault="00543605" w:rsidP="00235B38">
            <w:pPr>
              <w:pStyle w:val="ListParagraph"/>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4(ii)</w:t>
            </w:r>
          </w:p>
        </w:tc>
        <w:tc>
          <w:tcPr>
            <w:tcW w:w="7512" w:type="dxa"/>
            <w:shd w:val="clear" w:color="auto" w:fill="auto"/>
          </w:tcPr>
          <w:p w14:paraId="449271D5" w14:textId="42C59ACC" w:rsidR="00603888" w:rsidRPr="009F21A3" w:rsidRDefault="00543605" w:rsidP="00543605">
            <w:pPr>
              <w:spacing w:before="120"/>
              <w:rPr>
                <w:rFonts w:ascii="Times New Roman" w:hAnsi="Times New Roman" w:cs="Times New Roman"/>
                <w:b/>
                <w:sz w:val="20"/>
                <w:szCs w:val="20"/>
              </w:rPr>
            </w:pPr>
            <w:r w:rsidRPr="00543605">
              <w:rPr>
                <w:rFonts w:ascii="Times New Roman" w:hAnsi="Times New Roman" w:cs="Times New Roman"/>
                <w:b/>
                <w:bCs/>
                <w:sz w:val="20"/>
                <w:szCs w:val="20"/>
              </w:rPr>
              <w:t>Do you agree that the proposal strikes the right balance in deciding which financial assets should be in the scope of the expected credit loss model, considering the costs for SMEs and benefits for users of SMEs’ financial statements?</w:t>
            </w:r>
          </w:p>
        </w:tc>
        <w:tc>
          <w:tcPr>
            <w:tcW w:w="5813" w:type="dxa"/>
            <w:shd w:val="clear" w:color="auto" w:fill="auto"/>
          </w:tcPr>
          <w:p w14:paraId="4125C1BC"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320F31" w:rsidRPr="009F21A3" w14:paraId="5660670F" w14:textId="77777777" w:rsidTr="00EF656C">
        <w:trPr>
          <w:cantSplit/>
        </w:trPr>
        <w:tc>
          <w:tcPr>
            <w:tcW w:w="704" w:type="dxa"/>
            <w:shd w:val="clear" w:color="auto" w:fill="D9D9D9" w:themeFill="background1" w:themeFillShade="D9"/>
          </w:tcPr>
          <w:p w14:paraId="7076D8A8" w14:textId="7525B7B9" w:rsidR="00320F31" w:rsidRPr="009F21A3" w:rsidDel="0039552A" w:rsidRDefault="00320F31" w:rsidP="00C37998">
            <w:pPr>
              <w:pStyle w:val="TableParagraph"/>
              <w:widowControl/>
              <w:autoSpaceDE/>
              <w:autoSpaceDN/>
              <w:spacing w:before="120" w:after="60" w:line="360" w:lineRule="auto"/>
              <w:ind w:left="0"/>
              <w:rPr>
                <w:rFonts w:ascii="Times New Roman" w:hAnsi="Times New Roman" w:cs="Times New Roman"/>
                <w:i/>
                <w:sz w:val="20"/>
                <w:szCs w:val="20"/>
                <w:lang w:val="en-GB"/>
              </w:rPr>
            </w:pPr>
            <w:r>
              <w:rPr>
                <w:rFonts w:ascii="Times New Roman" w:hAnsi="Times New Roman" w:cs="Times New Roman"/>
                <w:sz w:val="20"/>
                <w:szCs w:val="20"/>
                <w:lang w:val="en-GB"/>
              </w:rPr>
              <w:lastRenderedPageBreak/>
              <w:t>5</w:t>
            </w:r>
          </w:p>
          <w:p w14:paraId="1A6291E8" w14:textId="77777777" w:rsidR="00320F31" w:rsidRPr="009F21A3" w:rsidRDefault="00320F31" w:rsidP="00235B38">
            <w:pPr>
              <w:pStyle w:val="ListParagraph"/>
              <w:spacing w:before="60" w:after="60" w:line="360" w:lineRule="auto"/>
              <w:ind w:left="0"/>
              <w:rPr>
                <w:rFonts w:ascii="Times New Roman" w:hAnsi="Times New Roman" w:cs="Times New Roman"/>
                <w:sz w:val="20"/>
                <w:szCs w:val="20"/>
              </w:rPr>
            </w:pPr>
          </w:p>
        </w:tc>
        <w:tc>
          <w:tcPr>
            <w:tcW w:w="13325" w:type="dxa"/>
            <w:gridSpan w:val="2"/>
            <w:shd w:val="clear" w:color="auto" w:fill="D9D9D9" w:themeFill="background1" w:themeFillShade="D9"/>
          </w:tcPr>
          <w:p w14:paraId="038321BA" w14:textId="77777777" w:rsidR="00320F31" w:rsidRPr="009F5525" w:rsidRDefault="00320F31" w:rsidP="009F5525">
            <w:pPr>
              <w:spacing w:before="120"/>
              <w:rPr>
                <w:rFonts w:ascii="Times New Roman" w:hAnsi="Times New Roman" w:cs="Times New Roman"/>
                <w:i/>
                <w:iCs/>
                <w:sz w:val="20"/>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5</w:t>
            </w:r>
            <w:r w:rsidRPr="00EA5F65">
              <w:rPr>
                <w:rStyle w:val="Heading2Char"/>
                <w:rFonts w:eastAsiaTheme="minorHAnsi" w:cs="Times New Roman"/>
                <w:szCs w:val="20"/>
              </w:rPr>
              <w:t>—</w:t>
            </w:r>
            <w:r>
              <w:rPr>
                <w:rStyle w:val="Heading2Char"/>
                <w:rFonts w:eastAsiaTheme="minorHAnsi" w:cs="Times New Roman"/>
                <w:szCs w:val="20"/>
              </w:rPr>
              <w:t xml:space="preserve">Proposal for a new Section 12 </w:t>
            </w:r>
            <w:r>
              <w:rPr>
                <w:rStyle w:val="Heading2Char"/>
                <w:rFonts w:eastAsiaTheme="minorHAnsi" w:cs="Times New Roman"/>
                <w:i/>
                <w:iCs/>
                <w:szCs w:val="20"/>
              </w:rPr>
              <w:t>Fair Value Measurement</w:t>
            </w:r>
          </w:p>
          <w:p w14:paraId="58B19EBB" w14:textId="77777777" w:rsidR="00320F31" w:rsidRDefault="00320F31" w:rsidP="00C37998">
            <w:pPr>
              <w:spacing w:before="120" w:after="120"/>
              <w:rPr>
                <w:rFonts w:ascii="Times New Roman" w:hAnsi="Times New Roman" w:cs="Times New Roman"/>
                <w:sz w:val="20"/>
                <w:szCs w:val="20"/>
              </w:rPr>
            </w:pPr>
            <w:r w:rsidRPr="009F5525">
              <w:rPr>
                <w:rFonts w:ascii="Times New Roman" w:hAnsi="Times New Roman" w:cs="Times New Roman"/>
                <w:sz w:val="20"/>
                <w:szCs w:val="20"/>
              </w:rPr>
              <w:t xml:space="preserve">The IASB in its Request for Information asked for views on aligning the Standard with IFRS 13 </w:t>
            </w:r>
            <w:r w:rsidRPr="009F5525">
              <w:rPr>
                <w:rFonts w:ascii="Times New Roman" w:hAnsi="Times New Roman" w:cs="Times New Roman"/>
                <w:i/>
                <w:iCs/>
                <w:sz w:val="20"/>
                <w:szCs w:val="20"/>
              </w:rPr>
              <w:t>Fair Value Measurement</w:t>
            </w:r>
            <w:r w:rsidRPr="009F5525">
              <w:rPr>
                <w:rFonts w:ascii="Times New Roman" w:hAnsi="Times New Roman" w:cs="Times New Roman"/>
                <w:sz w:val="20"/>
                <w:szCs w:val="20"/>
              </w:rPr>
              <w:t xml:space="preserve"> and introducing illustrative examples into the Standard. This alignment would not amend the requirements for when to use fair value measurement. </w:t>
            </w:r>
          </w:p>
          <w:p w14:paraId="312354AF" w14:textId="77777777" w:rsidR="00320F31" w:rsidRDefault="00320F31" w:rsidP="00C37998">
            <w:pPr>
              <w:spacing w:before="120" w:after="120"/>
              <w:rPr>
                <w:rFonts w:ascii="Times New Roman" w:hAnsi="Times New Roman" w:cs="Times New Roman"/>
                <w:sz w:val="20"/>
                <w:szCs w:val="20"/>
              </w:rPr>
            </w:pPr>
            <w:r w:rsidRPr="009F5525">
              <w:rPr>
                <w:rFonts w:ascii="Times New Roman" w:hAnsi="Times New Roman" w:cs="Times New Roman"/>
                <w:sz w:val="20"/>
                <w:szCs w:val="20"/>
              </w:rPr>
              <w:t xml:space="preserve">Respondents to the Request for Information favoured aligning the Standard with the definition of fair value in IFRS 13 to provide clarity and enhance comparability between financial statements prepared applying the Standard. The IASB is proposing that the requirements on measuring fair value and related disclosure requirements be consolidated in a new Section 12 </w:t>
            </w:r>
            <w:r w:rsidRPr="009F5525">
              <w:rPr>
                <w:rFonts w:ascii="Times New Roman" w:hAnsi="Times New Roman" w:cs="Times New Roman"/>
                <w:i/>
                <w:iCs/>
                <w:sz w:val="20"/>
                <w:szCs w:val="20"/>
              </w:rPr>
              <w:t>Fair Value Measurement</w:t>
            </w:r>
            <w:r w:rsidRPr="009F5525">
              <w:rPr>
                <w:rFonts w:ascii="Times New Roman" w:hAnsi="Times New Roman" w:cs="Times New Roman"/>
                <w:sz w:val="20"/>
                <w:szCs w:val="20"/>
              </w:rPr>
              <w:t xml:space="preserve">. </w:t>
            </w:r>
          </w:p>
          <w:p w14:paraId="160B9BB0" w14:textId="22A5E615" w:rsidR="00320F31" w:rsidRPr="009F21A3" w:rsidRDefault="00320F31" w:rsidP="00235B38">
            <w:pPr>
              <w:pStyle w:val="ListParagraph"/>
              <w:snapToGrid w:val="0"/>
              <w:spacing w:before="60" w:after="60" w:line="360" w:lineRule="auto"/>
              <w:ind w:left="0"/>
              <w:contextualSpacing w:val="0"/>
              <w:rPr>
                <w:rFonts w:ascii="Times New Roman" w:hAnsi="Times New Roman" w:cs="Times New Roman"/>
                <w:b/>
                <w:sz w:val="20"/>
                <w:szCs w:val="20"/>
              </w:rPr>
            </w:pPr>
            <w:r w:rsidRPr="009F5525">
              <w:rPr>
                <w:rFonts w:ascii="Times New Roman" w:hAnsi="Times New Roman" w:cs="Times New Roman"/>
                <w:sz w:val="20"/>
                <w:szCs w:val="20"/>
              </w:rPr>
              <w:t>Paragraphs BC108–BC118 of the Basis for Conclusions on th</w:t>
            </w:r>
            <w:r w:rsidR="00E71E3B">
              <w:rPr>
                <w:rFonts w:ascii="Times New Roman" w:hAnsi="Times New Roman" w:cs="Times New Roman"/>
                <w:sz w:val="20"/>
                <w:szCs w:val="20"/>
              </w:rPr>
              <w:t>e</w:t>
            </w:r>
            <w:r w:rsidRPr="009F5525">
              <w:rPr>
                <w:rFonts w:ascii="Times New Roman" w:hAnsi="Times New Roman" w:cs="Times New Roman"/>
                <w:sz w:val="20"/>
                <w:szCs w:val="20"/>
              </w:rPr>
              <w:t xml:space="preserve"> Exposure Draft explain the IASB’s rationale for this proposal.</w:t>
            </w:r>
          </w:p>
        </w:tc>
      </w:tr>
      <w:tr w:rsidR="00BA1DD3" w:rsidRPr="009F21A3" w14:paraId="73AD1D55" w14:textId="77777777" w:rsidTr="00320F31">
        <w:tc>
          <w:tcPr>
            <w:tcW w:w="704" w:type="dxa"/>
            <w:shd w:val="clear" w:color="auto" w:fill="auto"/>
          </w:tcPr>
          <w:p w14:paraId="4B5E8629" w14:textId="77777777" w:rsidR="00BA1DD3" w:rsidRPr="009F21A3" w:rsidRDefault="00BA1DD3" w:rsidP="00235B38">
            <w:pPr>
              <w:pStyle w:val="ListParagraph"/>
              <w:spacing w:before="60" w:after="60" w:line="360" w:lineRule="auto"/>
              <w:ind w:left="0"/>
              <w:rPr>
                <w:rFonts w:ascii="Times New Roman" w:hAnsi="Times New Roman" w:cs="Times New Roman"/>
                <w:sz w:val="20"/>
                <w:szCs w:val="20"/>
              </w:rPr>
            </w:pPr>
          </w:p>
        </w:tc>
        <w:tc>
          <w:tcPr>
            <w:tcW w:w="7512" w:type="dxa"/>
            <w:shd w:val="clear" w:color="auto" w:fill="auto"/>
          </w:tcPr>
          <w:p w14:paraId="34CB643E" w14:textId="7FF931B1" w:rsidR="00DE56DD" w:rsidRPr="00194F86" w:rsidRDefault="009F5525" w:rsidP="009F5525">
            <w:pPr>
              <w:spacing w:before="120" w:after="120"/>
              <w:rPr>
                <w:rFonts w:ascii="Times New Roman" w:hAnsi="Times New Roman" w:cs="Times New Roman"/>
                <w:b/>
                <w:bCs/>
                <w:sz w:val="20"/>
                <w:szCs w:val="20"/>
              </w:rPr>
            </w:pPr>
            <w:r w:rsidRPr="00194F86">
              <w:rPr>
                <w:rFonts w:ascii="Times New Roman" w:hAnsi="Times New Roman" w:cs="Times New Roman"/>
                <w:b/>
                <w:bCs/>
                <w:sz w:val="20"/>
                <w:szCs w:val="20"/>
              </w:rPr>
              <w:t>Do you have comments or suggestions on the new Section 12? Please explain the reasons for your suggestions.</w:t>
            </w:r>
          </w:p>
        </w:tc>
        <w:tc>
          <w:tcPr>
            <w:tcW w:w="5813" w:type="dxa"/>
            <w:shd w:val="clear" w:color="auto" w:fill="auto"/>
          </w:tcPr>
          <w:p w14:paraId="79D1761D" w14:textId="77777777" w:rsidR="00BA1DD3" w:rsidRPr="009F21A3" w:rsidRDefault="00BA1DD3"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320F31" w:rsidRPr="009F21A3" w14:paraId="512E43F5" w14:textId="77777777" w:rsidTr="00220A48">
        <w:trPr>
          <w:cantSplit/>
        </w:trPr>
        <w:tc>
          <w:tcPr>
            <w:tcW w:w="704" w:type="dxa"/>
            <w:shd w:val="clear" w:color="auto" w:fill="D9D9D9" w:themeFill="background1" w:themeFillShade="D9"/>
          </w:tcPr>
          <w:p w14:paraId="534B4E2C" w14:textId="09C69B4F" w:rsidR="00320F31" w:rsidRPr="009F21A3" w:rsidRDefault="00320F31" w:rsidP="0047436A">
            <w:pPr>
              <w:pStyle w:val="ListParagraph"/>
              <w:keepNext/>
              <w:keepLines/>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lastRenderedPageBreak/>
              <w:t>6</w:t>
            </w:r>
          </w:p>
        </w:tc>
        <w:tc>
          <w:tcPr>
            <w:tcW w:w="13325" w:type="dxa"/>
            <w:gridSpan w:val="2"/>
            <w:shd w:val="clear" w:color="auto" w:fill="D9D9D9" w:themeFill="background1" w:themeFillShade="D9"/>
          </w:tcPr>
          <w:p w14:paraId="55F51751" w14:textId="77777777" w:rsidR="00320F31" w:rsidRPr="00194F86" w:rsidRDefault="00320F31" w:rsidP="0047436A">
            <w:pPr>
              <w:keepNext/>
              <w:keepLines/>
              <w:spacing w:before="120"/>
              <w:rPr>
                <w:rFonts w:ascii="Times New Roman" w:hAnsi="Times New Roman" w:cs="Times New Roman"/>
                <w:sz w:val="20"/>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6</w:t>
            </w:r>
            <w:r w:rsidRPr="00EA5F65">
              <w:rPr>
                <w:rStyle w:val="Heading2Char"/>
                <w:rFonts w:eastAsiaTheme="minorHAnsi" w:cs="Times New Roman"/>
                <w:szCs w:val="20"/>
              </w:rPr>
              <w:t>—</w:t>
            </w:r>
            <w:r>
              <w:rPr>
                <w:rStyle w:val="Heading2Char"/>
                <w:rFonts w:eastAsiaTheme="minorHAnsi" w:cs="Times New Roman"/>
                <w:szCs w:val="20"/>
              </w:rPr>
              <w:t>Proposed amendments to Section 15</w:t>
            </w:r>
            <w:r>
              <w:rPr>
                <w:rStyle w:val="Heading2Char"/>
                <w:rFonts w:eastAsiaTheme="minorHAnsi" w:cs="Times New Roman"/>
                <w:i/>
                <w:iCs/>
                <w:szCs w:val="20"/>
              </w:rPr>
              <w:t xml:space="preserve"> Investments in Joint Ventures </w:t>
            </w:r>
            <w:r>
              <w:rPr>
                <w:rStyle w:val="Heading2Char"/>
                <w:rFonts w:eastAsiaTheme="minorHAnsi" w:cs="Times New Roman"/>
                <w:szCs w:val="20"/>
              </w:rPr>
              <w:t xml:space="preserve">(renamed </w:t>
            </w:r>
            <w:r>
              <w:rPr>
                <w:rStyle w:val="Heading2Char"/>
                <w:rFonts w:eastAsiaTheme="minorHAnsi" w:cs="Times New Roman"/>
                <w:i/>
                <w:iCs/>
                <w:szCs w:val="20"/>
              </w:rPr>
              <w:t>Joint Arrangements</w:t>
            </w:r>
            <w:r>
              <w:rPr>
                <w:rStyle w:val="Heading2Char"/>
                <w:rFonts w:eastAsiaTheme="minorHAnsi" w:cs="Times New Roman"/>
                <w:szCs w:val="20"/>
              </w:rPr>
              <w:t>)</w:t>
            </w:r>
          </w:p>
          <w:p w14:paraId="368C6C59" w14:textId="77777777" w:rsidR="00320F31" w:rsidRDefault="00320F31" w:rsidP="0047436A">
            <w:pPr>
              <w:keepNext/>
              <w:keepLines/>
              <w:spacing w:before="120" w:after="120"/>
              <w:rPr>
                <w:rFonts w:ascii="Times New Roman" w:hAnsi="Times New Roman" w:cs="Times New Roman"/>
                <w:sz w:val="20"/>
                <w:szCs w:val="20"/>
              </w:rPr>
            </w:pPr>
            <w:r w:rsidRPr="00194F86">
              <w:rPr>
                <w:rFonts w:ascii="Times New Roman" w:hAnsi="Times New Roman" w:cs="Times New Roman"/>
                <w:sz w:val="20"/>
                <w:szCs w:val="20"/>
              </w:rPr>
              <w:t xml:space="preserve">The IASB in its Request for Information asked for views on aligning the definition of joint control with IFRS 11 </w:t>
            </w:r>
            <w:r w:rsidRPr="00E11060">
              <w:rPr>
                <w:rFonts w:ascii="Times New Roman" w:hAnsi="Times New Roman" w:cs="Times New Roman"/>
                <w:i/>
                <w:iCs/>
                <w:sz w:val="20"/>
                <w:szCs w:val="20"/>
              </w:rPr>
              <w:t>Joint Arrangements</w:t>
            </w:r>
            <w:r w:rsidRPr="00194F86">
              <w:rPr>
                <w:rFonts w:ascii="Times New Roman" w:hAnsi="Times New Roman" w:cs="Times New Roman"/>
                <w:sz w:val="20"/>
                <w:szCs w:val="20"/>
              </w:rPr>
              <w:t xml:space="preserve">, while retaining the three classifications of joint arrangements in Section 15 </w:t>
            </w:r>
            <w:r w:rsidRPr="00E11060">
              <w:rPr>
                <w:rFonts w:ascii="Times New Roman" w:hAnsi="Times New Roman" w:cs="Times New Roman"/>
                <w:i/>
                <w:iCs/>
                <w:sz w:val="20"/>
                <w:szCs w:val="20"/>
              </w:rPr>
              <w:t>Investments in Joint Ventures</w:t>
            </w:r>
            <w:r w:rsidRPr="00194F86">
              <w:rPr>
                <w:rFonts w:ascii="Times New Roman" w:hAnsi="Times New Roman" w:cs="Times New Roman"/>
                <w:sz w:val="20"/>
                <w:szCs w:val="20"/>
              </w:rPr>
              <w:t xml:space="preserve"> (jointly controlled operations, jointly controlled assets and jointly controlled entities).</w:t>
            </w:r>
          </w:p>
          <w:p w14:paraId="442557B7" w14:textId="77777777" w:rsidR="00320F31" w:rsidRDefault="00320F31" w:rsidP="0047436A">
            <w:pPr>
              <w:keepNext/>
              <w:keepLines/>
              <w:spacing w:before="120" w:after="120"/>
              <w:rPr>
                <w:rFonts w:ascii="Times New Roman" w:hAnsi="Times New Roman" w:cs="Times New Roman"/>
                <w:sz w:val="20"/>
                <w:szCs w:val="20"/>
              </w:rPr>
            </w:pPr>
            <w:r w:rsidRPr="00194F86">
              <w:rPr>
                <w:rFonts w:ascii="Times New Roman" w:hAnsi="Times New Roman" w:cs="Times New Roman"/>
                <w:sz w:val="20"/>
                <w:szCs w:val="20"/>
              </w:rPr>
              <w:t xml:space="preserve">Respondents to the Request for Information favoured aligning the definition of joint control. However, respondents expressed mixed views on whether to align the classification and measurement requirements with IFRS 11 or to retain the Section 15 classification and measurement requirements. </w:t>
            </w:r>
          </w:p>
          <w:p w14:paraId="67A2E8F6" w14:textId="77777777" w:rsidR="00320F31" w:rsidRDefault="00320F31" w:rsidP="0047436A">
            <w:pPr>
              <w:keepNext/>
              <w:keepLines/>
              <w:spacing w:before="120" w:after="120"/>
              <w:rPr>
                <w:rFonts w:ascii="Times New Roman" w:hAnsi="Times New Roman" w:cs="Times New Roman"/>
                <w:sz w:val="20"/>
                <w:szCs w:val="20"/>
              </w:rPr>
            </w:pPr>
            <w:r w:rsidRPr="00194F86">
              <w:rPr>
                <w:rFonts w:ascii="Times New Roman" w:hAnsi="Times New Roman" w:cs="Times New Roman"/>
                <w:sz w:val="20"/>
                <w:szCs w:val="20"/>
              </w:rPr>
              <w:t xml:space="preserve">The IASB is proposing to align the definition of joint control and retain the Section 15 classification and measurement requirements as set out in the Request for Information. </w:t>
            </w:r>
          </w:p>
          <w:p w14:paraId="4A8E53B6" w14:textId="158AEC4A" w:rsidR="00320F31" w:rsidRPr="009F21A3" w:rsidRDefault="00320F31" w:rsidP="0047436A">
            <w:pPr>
              <w:pStyle w:val="ListParagraph"/>
              <w:keepNext/>
              <w:keepLines/>
              <w:snapToGrid w:val="0"/>
              <w:spacing w:before="60" w:after="60" w:line="360" w:lineRule="auto"/>
              <w:ind w:left="0"/>
              <w:contextualSpacing w:val="0"/>
              <w:rPr>
                <w:rFonts w:ascii="Times New Roman" w:hAnsi="Times New Roman" w:cs="Times New Roman"/>
                <w:b/>
                <w:sz w:val="20"/>
                <w:szCs w:val="20"/>
              </w:rPr>
            </w:pPr>
            <w:r w:rsidRPr="00194F86">
              <w:rPr>
                <w:rFonts w:ascii="Times New Roman" w:hAnsi="Times New Roman" w:cs="Times New Roman"/>
                <w:sz w:val="20"/>
                <w:szCs w:val="20"/>
              </w:rPr>
              <w:t>Paragraphs BC119–BC127 of the Basis for Conclusions on th</w:t>
            </w:r>
            <w:r w:rsidR="00E71E3B">
              <w:rPr>
                <w:rFonts w:ascii="Times New Roman" w:hAnsi="Times New Roman" w:cs="Times New Roman"/>
                <w:sz w:val="20"/>
                <w:szCs w:val="20"/>
              </w:rPr>
              <w:t>e</w:t>
            </w:r>
            <w:r w:rsidRPr="00194F86">
              <w:rPr>
                <w:rFonts w:ascii="Times New Roman" w:hAnsi="Times New Roman" w:cs="Times New Roman"/>
                <w:sz w:val="20"/>
                <w:szCs w:val="20"/>
              </w:rPr>
              <w:t xml:space="preserve"> Exposure Draft explain the IASB’s rationale for these proposals.</w:t>
            </w:r>
          </w:p>
        </w:tc>
      </w:tr>
      <w:tr w:rsidR="00194F86" w:rsidRPr="009F21A3" w14:paraId="4E4F6CF3" w14:textId="77777777" w:rsidTr="00DE56DD">
        <w:trPr>
          <w:cantSplit/>
        </w:trPr>
        <w:tc>
          <w:tcPr>
            <w:tcW w:w="704" w:type="dxa"/>
          </w:tcPr>
          <w:p w14:paraId="76F1FBD9" w14:textId="0B0991E1" w:rsidR="00194F86" w:rsidRPr="009F21A3" w:rsidRDefault="00194F86" w:rsidP="0047436A">
            <w:pPr>
              <w:pStyle w:val="ListParagraph"/>
              <w:keepNext/>
              <w:keepLines/>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6(i)</w:t>
            </w:r>
          </w:p>
        </w:tc>
        <w:tc>
          <w:tcPr>
            <w:tcW w:w="7512" w:type="dxa"/>
            <w:shd w:val="clear" w:color="auto" w:fill="auto"/>
          </w:tcPr>
          <w:p w14:paraId="0F218775" w14:textId="0431B5CF" w:rsidR="00194F86" w:rsidRPr="009F21A3" w:rsidRDefault="00194F86" w:rsidP="0047436A">
            <w:pPr>
              <w:keepNext/>
              <w:keepLines/>
              <w:spacing w:before="120" w:after="120"/>
              <w:rPr>
                <w:rFonts w:ascii="Times New Roman" w:hAnsi="Times New Roman" w:cs="Times New Roman"/>
                <w:b/>
                <w:sz w:val="20"/>
                <w:szCs w:val="20"/>
              </w:rPr>
            </w:pPr>
            <w:r w:rsidRPr="00194F86">
              <w:rPr>
                <w:rFonts w:ascii="Times New Roman" w:hAnsi="Times New Roman" w:cs="Times New Roman"/>
                <w:b/>
                <w:bCs/>
                <w:sz w:val="20"/>
                <w:szCs w:val="20"/>
              </w:rPr>
              <w:t>Do you agree with the IASB’s proposal to align the definition of joint control and retain the classification of a joint arrangement as jointly controlled assets, a jointly controlled operation, or a jointly controlled entity, and the measurement requirements for these classifications? Why or why not? If you disagree with the proposal, please explain what you suggest instead and why.</w:t>
            </w:r>
          </w:p>
        </w:tc>
        <w:tc>
          <w:tcPr>
            <w:tcW w:w="5813" w:type="dxa"/>
            <w:shd w:val="clear" w:color="auto" w:fill="auto"/>
          </w:tcPr>
          <w:p w14:paraId="14565033" w14:textId="77777777" w:rsidR="00194F86" w:rsidRPr="009F21A3" w:rsidRDefault="00194F86" w:rsidP="0047436A">
            <w:pPr>
              <w:pStyle w:val="ListParagraph"/>
              <w:keepNext/>
              <w:keepLines/>
              <w:snapToGrid w:val="0"/>
              <w:spacing w:before="60" w:after="60" w:line="360" w:lineRule="auto"/>
              <w:ind w:left="0"/>
              <w:contextualSpacing w:val="0"/>
              <w:rPr>
                <w:rFonts w:ascii="Times New Roman" w:hAnsi="Times New Roman" w:cs="Times New Roman"/>
                <w:b/>
                <w:sz w:val="20"/>
                <w:szCs w:val="20"/>
              </w:rPr>
            </w:pPr>
          </w:p>
        </w:tc>
      </w:tr>
      <w:tr w:rsidR="00EF656C" w:rsidRPr="009F21A3" w14:paraId="4A49F273" w14:textId="77777777" w:rsidTr="00220A48">
        <w:trPr>
          <w:cantSplit/>
        </w:trPr>
        <w:tc>
          <w:tcPr>
            <w:tcW w:w="704" w:type="dxa"/>
            <w:shd w:val="clear" w:color="auto" w:fill="D9D9D9" w:themeFill="background1" w:themeFillShade="D9"/>
            <w:vAlign w:val="center"/>
          </w:tcPr>
          <w:p w14:paraId="58137780" w14:textId="5C193504" w:rsidR="00EF656C" w:rsidRPr="009F21A3" w:rsidRDefault="00EF656C" w:rsidP="0047436A">
            <w:pPr>
              <w:pStyle w:val="ListParagraph"/>
              <w:keepNext/>
              <w:keepLines/>
              <w:spacing w:before="120" w:after="60" w:line="360" w:lineRule="auto"/>
              <w:ind w:left="0"/>
              <w:contextualSpacing w:val="0"/>
              <w:rPr>
                <w:rFonts w:ascii="Times New Roman" w:hAnsi="Times New Roman" w:cs="Times New Roman"/>
                <w:sz w:val="20"/>
                <w:szCs w:val="20"/>
              </w:rPr>
            </w:pPr>
          </w:p>
        </w:tc>
        <w:tc>
          <w:tcPr>
            <w:tcW w:w="13325" w:type="dxa"/>
            <w:gridSpan w:val="2"/>
            <w:shd w:val="clear" w:color="auto" w:fill="D9D9D9" w:themeFill="background1" w:themeFillShade="D9"/>
          </w:tcPr>
          <w:p w14:paraId="269FEF70" w14:textId="77777777" w:rsidR="00EF656C" w:rsidRDefault="00EF656C" w:rsidP="0047436A">
            <w:pPr>
              <w:keepNext/>
              <w:keepLines/>
              <w:spacing w:before="120" w:after="120"/>
              <w:rPr>
                <w:rFonts w:ascii="Times New Roman" w:hAnsi="Times New Roman" w:cs="Times New Roman"/>
                <w:sz w:val="20"/>
                <w:szCs w:val="20"/>
              </w:rPr>
            </w:pPr>
            <w:r w:rsidRPr="00194F86">
              <w:rPr>
                <w:rFonts w:ascii="Times New Roman" w:hAnsi="Times New Roman" w:cs="Times New Roman"/>
                <w:sz w:val="20"/>
                <w:szCs w:val="20"/>
              </w:rPr>
              <w:t xml:space="preserve">The IASB is also proposing amendments to align Section 15 with the requirements of paragraph 23 of IFRS 11, so that a party to a jointly controlled operation or a jointly controlled asset that does not have joint control of those arrangements would account for its interest according to the classification of that jointly controlled operation or the jointly controlled asset. </w:t>
            </w:r>
          </w:p>
          <w:p w14:paraId="51AF39D1" w14:textId="0C51A356" w:rsidR="00EF656C" w:rsidRPr="009F21A3" w:rsidRDefault="00EF656C" w:rsidP="0047436A">
            <w:pPr>
              <w:pStyle w:val="ListParagraph"/>
              <w:keepNext/>
              <w:keepLines/>
              <w:snapToGrid w:val="0"/>
              <w:spacing w:before="60" w:after="60" w:line="360" w:lineRule="auto"/>
              <w:ind w:left="0"/>
              <w:contextualSpacing w:val="0"/>
              <w:rPr>
                <w:rFonts w:ascii="Times New Roman" w:hAnsi="Times New Roman" w:cs="Times New Roman"/>
                <w:b/>
                <w:sz w:val="20"/>
                <w:szCs w:val="20"/>
              </w:rPr>
            </w:pPr>
            <w:r w:rsidRPr="00194F86">
              <w:rPr>
                <w:rFonts w:ascii="Times New Roman" w:hAnsi="Times New Roman" w:cs="Times New Roman"/>
                <w:sz w:val="20"/>
                <w:szCs w:val="20"/>
              </w:rPr>
              <w:t>Paragraphs BC128–BC129 of the Basis for Conclusions on th</w:t>
            </w:r>
            <w:r w:rsidR="00E71E3B">
              <w:rPr>
                <w:rFonts w:ascii="Times New Roman" w:hAnsi="Times New Roman" w:cs="Times New Roman"/>
                <w:sz w:val="20"/>
                <w:szCs w:val="20"/>
              </w:rPr>
              <w:t>e</w:t>
            </w:r>
            <w:r w:rsidRPr="00194F86">
              <w:rPr>
                <w:rFonts w:ascii="Times New Roman" w:hAnsi="Times New Roman" w:cs="Times New Roman"/>
                <w:sz w:val="20"/>
                <w:szCs w:val="20"/>
              </w:rPr>
              <w:t xml:space="preserve"> Exposure Draft explain the IASB’s rationale for this proposal.</w:t>
            </w:r>
          </w:p>
        </w:tc>
      </w:tr>
      <w:tr w:rsidR="0022395A" w:rsidRPr="009F21A3" w14:paraId="47CF3780" w14:textId="77777777" w:rsidTr="00EF656C">
        <w:tc>
          <w:tcPr>
            <w:tcW w:w="704" w:type="dxa"/>
            <w:shd w:val="clear" w:color="auto" w:fill="auto"/>
          </w:tcPr>
          <w:p w14:paraId="5CFF1588" w14:textId="31B21513" w:rsidR="0022395A" w:rsidRDefault="00EF656C" w:rsidP="0047436A">
            <w:pPr>
              <w:pStyle w:val="ListParagraph"/>
              <w:keepNext/>
              <w:keepLines/>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6(ii)</w:t>
            </w:r>
          </w:p>
        </w:tc>
        <w:tc>
          <w:tcPr>
            <w:tcW w:w="7512" w:type="dxa"/>
            <w:shd w:val="clear" w:color="auto" w:fill="auto"/>
          </w:tcPr>
          <w:p w14:paraId="40E9E2FD" w14:textId="4F774FC0" w:rsidR="0022395A" w:rsidRPr="00194F86" w:rsidRDefault="0022395A" w:rsidP="0047436A">
            <w:pPr>
              <w:keepNext/>
              <w:keepLines/>
              <w:spacing w:before="120" w:after="120"/>
              <w:rPr>
                <w:rFonts w:ascii="Times New Roman" w:hAnsi="Times New Roman" w:cs="Times New Roman"/>
                <w:b/>
                <w:bCs/>
                <w:sz w:val="20"/>
                <w:szCs w:val="20"/>
              </w:rPr>
            </w:pPr>
            <w:r w:rsidRPr="00194F86">
              <w:rPr>
                <w:rFonts w:ascii="Times New Roman" w:hAnsi="Times New Roman" w:cs="Times New Roman"/>
                <w:b/>
                <w:bCs/>
                <w:sz w:val="20"/>
                <w:szCs w:val="20"/>
              </w:rPr>
              <w:t>Do you agree with this proposal? Why or why not? If you disagree with the proposal, please explain what you suggest instead and why</w:t>
            </w:r>
            <w:r w:rsidR="002D47C9">
              <w:rPr>
                <w:rFonts w:ascii="Times New Roman" w:hAnsi="Times New Roman" w:cs="Times New Roman"/>
                <w:b/>
                <w:bCs/>
                <w:sz w:val="20"/>
                <w:szCs w:val="20"/>
              </w:rPr>
              <w:t>.</w:t>
            </w:r>
          </w:p>
        </w:tc>
        <w:tc>
          <w:tcPr>
            <w:tcW w:w="5813" w:type="dxa"/>
            <w:shd w:val="clear" w:color="auto" w:fill="auto"/>
          </w:tcPr>
          <w:p w14:paraId="67B5E2EB" w14:textId="77777777" w:rsidR="0022395A" w:rsidRPr="009F21A3" w:rsidRDefault="0022395A" w:rsidP="0047436A">
            <w:pPr>
              <w:pStyle w:val="ListParagraph"/>
              <w:keepNext/>
              <w:keepLines/>
              <w:snapToGrid w:val="0"/>
              <w:spacing w:before="60" w:after="60" w:line="360" w:lineRule="auto"/>
              <w:ind w:left="0"/>
              <w:contextualSpacing w:val="0"/>
              <w:rPr>
                <w:rFonts w:ascii="Times New Roman" w:hAnsi="Times New Roman" w:cs="Times New Roman"/>
                <w:b/>
                <w:sz w:val="20"/>
                <w:szCs w:val="20"/>
              </w:rPr>
            </w:pPr>
          </w:p>
        </w:tc>
      </w:tr>
      <w:tr w:rsidR="00EF656C" w:rsidRPr="009F21A3" w14:paraId="2C4EA874" w14:textId="77777777" w:rsidTr="00EF656C">
        <w:trPr>
          <w:cantSplit/>
        </w:trPr>
        <w:tc>
          <w:tcPr>
            <w:tcW w:w="704" w:type="dxa"/>
            <w:shd w:val="clear" w:color="auto" w:fill="D9D9D9" w:themeFill="background1" w:themeFillShade="D9"/>
          </w:tcPr>
          <w:p w14:paraId="11E6F25B" w14:textId="39565127" w:rsidR="00EF656C" w:rsidRPr="009F21A3" w:rsidRDefault="00EF656C" w:rsidP="00235B38">
            <w:pPr>
              <w:pStyle w:val="ListParagraph"/>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lastRenderedPageBreak/>
              <w:t>7</w:t>
            </w:r>
          </w:p>
        </w:tc>
        <w:tc>
          <w:tcPr>
            <w:tcW w:w="13325" w:type="dxa"/>
            <w:gridSpan w:val="2"/>
            <w:shd w:val="clear" w:color="auto" w:fill="D9D9D9" w:themeFill="background1" w:themeFillShade="D9"/>
          </w:tcPr>
          <w:p w14:paraId="4E02A48B" w14:textId="77777777" w:rsidR="00EF656C" w:rsidRDefault="00EF656C" w:rsidP="00212620">
            <w:pPr>
              <w:spacing w:before="120"/>
              <w:rPr>
                <w:rStyle w:val="Heading2Char"/>
                <w:rFonts w:eastAsiaTheme="minorHAnsi" w:cs="Times New Roman"/>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7</w:t>
            </w:r>
            <w:r w:rsidRPr="00EA5F65">
              <w:rPr>
                <w:rStyle w:val="Heading2Char"/>
                <w:rFonts w:eastAsiaTheme="minorHAnsi" w:cs="Times New Roman"/>
                <w:szCs w:val="20"/>
              </w:rPr>
              <w:t>—</w:t>
            </w:r>
            <w:r>
              <w:rPr>
                <w:rStyle w:val="Heading2Char"/>
                <w:rFonts w:eastAsiaTheme="minorHAnsi" w:cs="Times New Roman"/>
                <w:szCs w:val="20"/>
              </w:rPr>
              <w:t>Proposed amendments to Section 15</w:t>
            </w:r>
            <w:r>
              <w:rPr>
                <w:rStyle w:val="Heading2Char"/>
                <w:rFonts w:eastAsiaTheme="minorHAnsi" w:cs="Times New Roman"/>
                <w:i/>
                <w:iCs/>
                <w:szCs w:val="20"/>
              </w:rPr>
              <w:t xml:space="preserve"> Investments in Joint Ventures </w:t>
            </w:r>
            <w:r>
              <w:rPr>
                <w:rStyle w:val="Heading2Char"/>
                <w:rFonts w:eastAsiaTheme="minorHAnsi" w:cs="Times New Roman"/>
                <w:szCs w:val="20"/>
              </w:rPr>
              <w:t xml:space="preserve">(renamed </w:t>
            </w:r>
            <w:r>
              <w:rPr>
                <w:rStyle w:val="Heading2Char"/>
                <w:rFonts w:eastAsiaTheme="minorHAnsi" w:cs="Times New Roman"/>
                <w:i/>
                <w:iCs/>
                <w:szCs w:val="20"/>
              </w:rPr>
              <w:t>Joint Arrangements</w:t>
            </w:r>
            <w:r>
              <w:rPr>
                <w:rStyle w:val="Heading2Char"/>
                <w:rFonts w:eastAsiaTheme="minorHAnsi" w:cs="Times New Roman"/>
                <w:szCs w:val="20"/>
              </w:rPr>
              <w:t>)</w:t>
            </w:r>
          </w:p>
          <w:p w14:paraId="566F572A" w14:textId="77777777" w:rsidR="00EF656C" w:rsidRDefault="00EF656C" w:rsidP="00B81169">
            <w:pPr>
              <w:spacing w:before="120"/>
              <w:rPr>
                <w:rFonts w:ascii="Times New Roman" w:hAnsi="Times New Roman" w:cs="Times New Roman"/>
                <w:sz w:val="20"/>
                <w:szCs w:val="20"/>
              </w:rPr>
            </w:pPr>
            <w:r w:rsidRPr="00212620">
              <w:rPr>
                <w:rFonts w:ascii="Times New Roman" w:hAnsi="Times New Roman" w:cs="Times New Roman"/>
                <w:sz w:val="20"/>
                <w:szCs w:val="20"/>
              </w:rPr>
              <w:t xml:space="preserve">Based on the feedback to the Request for Information, the IASB is proposing to align Section 19 </w:t>
            </w:r>
            <w:r w:rsidRPr="00E154BC">
              <w:rPr>
                <w:rFonts w:ascii="Times New Roman" w:hAnsi="Times New Roman" w:cs="Times New Roman"/>
                <w:i/>
                <w:iCs/>
                <w:sz w:val="20"/>
                <w:szCs w:val="20"/>
              </w:rPr>
              <w:t>Business Combinations and Goodwill</w:t>
            </w:r>
            <w:r w:rsidRPr="00212620">
              <w:rPr>
                <w:rFonts w:ascii="Times New Roman" w:hAnsi="Times New Roman" w:cs="Times New Roman"/>
                <w:sz w:val="20"/>
                <w:szCs w:val="20"/>
              </w:rPr>
              <w:t xml:space="preserve"> with the acquisition method of accounting in IFRS 3 </w:t>
            </w:r>
            <w:r w:rsidRPr="00D6040B">
              <w:rPr>
                <w:rFonts w:ascii="Times New Roman" w:hAnsi="Times New Roman" w:cs="Times New Roman"/>
                <w:i/>
                <w:sz w:val="20"/>
                <w:szCs w:val="20"/>
              </w:rPr>
              <w:t>Business Combinations</w:t>
            </w:r>
            <w:r w:rsidRPr="00212620">
              <w:rPr>
                <w:rFonts w:ascii="Times New Roman" w:hAnsi="Times New Roman" w:cs="Times New Roman"/>
                <w:sz w:val="20"/>
                <w:szCs w:val="20"/>
              </w:rPr>
              <w:t xml:space="preserve">* by: </w:t>
            </w:r>
          </w:p>
          <w:p w14:paraId="086FCAF7" w14:textId="77777777" w:rsidR="00EF656C" w:rsidRPr="00212620" w:rsidRDefault="00EF656C" w:rsidP="00B81169">
            <w:pPr>
              <w:pStyle w:val="Boardpaperlevel2"/>
              <w:numPr>
                <w:ilvl w:val="0"/>
                <w:numId w:val="31"/>
              </w:numPr>
              <w:spacing w:before="120" w:line="276" w:lineRule="auto"/>
              <w:ind w:right="0"/>
              <w:rPr>
                <w:sz w:val="20"/>
                <w:szCs w:val="20"/>
              </w:rPr>
            </w:pPr>
            <w:r w:rsidRPr="00212620">
              <w:rPr>
                <w:sz w:val="20"/>
                <w:szCs w:val="20"/>
              </w:rPr>
              <w:t xml:space="preserve">adding requirements and guidance for a new entity formed in a business combination; </w:t>
            </w:r>
          </w:p>
          <w:p w14:paraId="43CA1E00" w14:textId="77777777" w:rsidR="00EF656C" w:rsidRDefault="00EF656C" w:rsidP="00B81169">
            <w:pPr>
              <w:pStyle w:val="Boardpaperlevel2"/>
              <w:numPr>
                <w:ilvl w:val="0"/>
                <w:numId w:val="31"/>
              </w:numPr>
              <w:spacing w:before="120" w:line="276" w:lineRule="auto"/>
              <w:ind w:right="0"/>
              <w:rPr>
                <w:sz w:val="20"/>
                <w:szCs w:val="20"/>
              </w:rPr>
            </w:pPr>
            <w:r w:rsidRPr="00212620">
              <w:rPr>
                <w:sz w:val="20"/>
                <w:szCs w:val="20"/>
              </w:rPr>
              <w:t xml:space="preserve">updating the references when recognising the identifiable assets acquired and liabilities assumed in a business combination to refer to the definitions of an asset and a liability in the revised Section 2 </w:t>
            </w:r>
            <w:r w:rsidRPr="00A7027F">
              <w:rPr>
                <w:i/>
                <w:iCs/>
                <w:sz w:val="20"/>
                <w:szCs w:val="20"/>
              </w:rPr>
              <w:t>Concepts and Pervasive Principles</w:t>
            </w:r>
            <w:r w:rsidRPr="00212620">
              <w:rPr>
                <w:sz w:val="20"/>
                <w:szCs w:val="20"/>
              </w:rPr>
              <w:t>;</w:t>
            </w:r>
          </w:p>
          <w:p w14:paraId="3BEDCFA6" w14:textId="77777777" w:rsidR="00EF656C" w:rsidRDefault="00EF656C" w:rsidP="00B81169">
            <w:pPr>
              <w:pStyle w:val="Boardpaperlevel2"/>
              <w:numPr>
                <w:ilvl w:val="0"/>
                <w:numId w:val="31"/>
              </w:numPr>
              <w:spacing w:before="120" w:line="276" w:lineRule="auto"/>
              <w:ind w:right="0"/>
              <w:rPr>
                <w:sz w:val="20"/>
                <w:szCs w:val="20"/>
              </w:rPr>
            </w:pPr>
            <w:r w:rsidRPr="00212620">
              <w:rPr>
                <w:sz w:val="20"/>
                <w:szCs w:val="20"/>
              </w:rPr>
              <w:t>clarifying that an acquirer cannot recognise a contingency that is not a liability</w:t>
            </w:r>
            <w:r>
              <w:rPr>
                <w:sz w:val="20"/>
                <w:szCs w:val="20"/>
              </w:rPr>
              <w:t>;</w:t>
            </w:r>
          </w:p>
          <w:p w14:paraId="2D43F17E" w14:textId="77777777" w:rsidR="00EF656C" w:rsidRDefault="00EF656C" w:rsidP="00B81169">
            <w:pPr>
              <w:pStyle w:val="Boardpaperlevel2"/>
              <w:numPr>
                <w:ilvl w:val="0"/>
                <w:numId w:val="31"/>
              </w:numPr>
              <w:spacing w:before="120" w:line="276" w:lineRule="auto"/>
              <w:ind w:right="0"/>
              <w:rPr>
                <w:sz w:val="20"/>
                <w:szCs w:val="20"/>
              </w:rPr>
            </w:pPr>
            <w:r w:rsidRPr="00212620">
              <w:rPr>
                <w:sz w:val="20"/>
                <w:szCs w:val="20"/>
              </w:rPr>
              <w:t xml:space="preserve">requiring recognition of acquisition-related costs as an expense; </w:t>
            </w:r>
          </w:p>
          <w:p w14:paraId="22942E9D" w14:textId="77777777" w:rsidR="00EF656C" w:rsidRDefault="00EF656C" w:rsidP="00B81169">
            <w:pPr>
              <w:pStyle w:val="Boardpaperlevel2"/>
              <w:numPr>
                <w:ilvl w:val="0"/>
                <w:numId w:val="31"/>
              </w:numPr>
              <w:spacing w:before="120" w:line="276" w:lineRule="auto"/>
              <w:ind w:right="0"/>
              <w:rPr>
                <w:sz w:val="20"/>
                <w:szCs w:val="20"/>
              </w:rPr>
            </w:pPr>
            <w:r w:rsidRPr="00212620">
              <w:rPr>
                <w:sz w:val="20"/>
                <w:szCs w:val="20"/>
              </w:rPr>
              <w:t xml:space="preserve">requiring measurement of contingent consideration at fair value if the fair value can be measured reliably without undue cost or effort; and </w:t>
            </w:r>
          </w:p>
          <w:p w14:paraId="29CD0D96" w14:textId="77777777" w:rsidR="00EF656C" w:rsidRDefault="00EF656C" w:rsidP="00B81169">
            <w:pPr>
              <w:pStyle w:val="Boardpaperlevel2"/>
              <w:numPr>
                <w:ilvl w:val="0"/>
                <w:numId w:val="31"/>
              </w:numPr>
              <w:spacing w:before="120" w:line="276" w:lineRule="auto"/>
              <w:ind w:right="0"/>
              <w:rPr>
                <w:sz w:val="20"/>
                <w:szCs w:val="20"/>
              </w:rPr>
            </w:pPr>
            <w:r w:rsidRPr="00212620">
              <w:rPr>
                <w:sz w:val="20"/>
                <w:szCs w:val="20"/>
              </w:rPr>
              <w:t xml:space="preserve">adding requirements for an acquisition achieved in stages (step acquisitions). </w:t>
            </w:r>
          </w:p>
          <w:p w14:paraId="3A8EF115" w14:textId="77777777" w:rsidR="00EF656C" w:rsidRDefault="00EF656C" w:rsidP="00B81169">
            <w:pPr>
              <w:spacing w:before="120"/>
              <w:rPr>
                <w:rFonts w:ascii="Times New Roman" w:hAnsi="Times New Roman" w:cs="Times New Roman"/>
                <w:sz w:val="20"/>
                <w:szCs w:val="20"/>
              </w:rPr>
            </w:pPr>
            <w:r w:rsidRPr="00212620">
              <w:rPr>
                <w:rFonts w:ascii="Times New Roman" w:hAnsi="Times New Roman" w:cs="Times New Roman"/>
                <w:sz w:val="20"/>
                <w:szCs w:val="20"/>
              </w:rPr>
              <w:t xml:space="preserve">For other aspects of the acquisition method of accounting, the IASB is proposing to retain the requirements in Section 19. The IASB is of the view that: </w:t>
            </w:r>
          </w:p>
          <w:p w14:paraId="18C3984F" w14:textId="77777777" w:rsidR="00EF656C" w:rsidRDefault="00EF656C" w:rsidP="00B81169">
            <w:pPr>
              <w:pStyle w:val="Boardpaperlevel2"/>
              <w:numPr>
                <w:ilvl w:val="0"/>
                <w:numId w:val="33"/>
              </w:numPr>
              <w:spacing w:before="120" w:line="276" w:lineRule="auto"/>
              <w:ind w:right="0"/>
              <w:rPr>
                <w:sz w:val="20"/>
                <w:szCs w:val="20"/>
              </w:rPr>
            </w:pPr>
            <w:r w:rsidRPr="00212620">
              <w:rPr>
                <w:sz w:val="20"/>
                <w:szCs w:val="20"/>
              </w:rPr>
              <w:t xml:space="preserve">the guidance in IFRS 3 on reacquired rights is unlikely to be relevant to entities applying the Standard; </w:t>
            </w:r>
          </w:p>
          <w:p w14:paraId="22B6D4D6" w14:textId="77777777" w:rsidR="00EF656C" w:rsidRDefault="00EF656C" w:rsidP="00B81169">
            <w:pPr>
              <w:pStyle w:val="Boardpaperlevel2"/>
              <w:numPr>
                <w:ilvl w:val="0"/>
                <w:numId w:val="33"/>
              </w:numPr>
              <w:spacing w:before="120" w:line="276" w:lineRule="auto"/>
              <w:ind w:right="0"/>
              <w:rPr>
                <w:sz w:val="20"/>
                <w:szCs w:val="20"/>
              </w:rPr>
            </w:pPr>
            <w:r w:rsidRPr="00212620">
              <w:rPr>
                <w:sz w:val="20"/>
                <w:szCs w:val="20"/>
              </w:rPr>
              <w:t xml:space="preserve">restricting the measurement of non-controlling interest in the acquiree to the non-controlling interest’s proportionate share of the recognised amounts of the acquiree’s identifiable net assets (and not introducing the fair value option) is an appropriate simplification; and </w:t>
            </w:r>
          </w:p>
          <w:p w14:paraId="5B0FC9D1" w14:textId="77777777" w:rsidR="00EF656C" w:rsidRDefault="00EF656C" w:rsidP="00B81169">
            <w:pPr>
              <w:pStyle w:val="Boardpaperlevel2"/>
              <w:numPr>
                <w:ilvl w:val="0"/>
                <w:numId w:val="33"/>
              </w:numPr>
              <w:spacing w:before="120" w:line="276" w:lineRule="auto"/>
              <w:ind w:right="0"/>
              <w:rPr>
                <w:sz w:val="20"/>
                <w:szCs w:val="20"/>
              </w:rPr>
            </w:pPr>
            <w:r w:rsidRPr="00212620">
              <w:rPr>
                <w:sz w:val="20"/>
                <w:szCs w:val="20"/>
              </w:rPr>
              <w:t xml:space="preserve">retaining recognition criteria for intangible assets acquired in a business combination balances the costs and benefits of separate recognition of these items because goodwill recognised in a business combination is amortised. </w:t>
            </w:r>
          </w:p>
          <w:p w14:paraId="07BE39FC" w14:textId="4BFA369B" w:rsidR="00EF656C" w:rsidRDefault="00EF656C" w:rsidP="00212620">
            <w:pPr>
              <w:spacing w:before="120"/>
              <w:rPr>
                <w:rFonts w:ascii="Times New Roman" w:hAnsi="Times New Roman" w:cs="Times New Roman"/>
                <w:sz w:val="20"/>
                <w:szCs w:val="20"/>
              </w:rPr>
            </w:pPr>
            <w:r w:rsidRPr="00212620">
              <w:rPr>
                <w:rFonts w:ascii="Times New Roman" w:hAnsi="Times New Roman" w:cs="Times New Roman"/>
                <w:sz w:val="20"/>
                <w:szCs w:val="20"/>
              </w:rPr>
              <w:t>Paragraphs BC130–BC183 of the Basis for Conclusions on th</w:t>
            </w:r>
            <w:r w:rsidR="00E71E3B">
              <w:rPr>
                <w:rFonts w:ascii="Times New Roman" w:hAnsi="Times New Roman" w:cs="Times New Roman"/>
                <w:sz w:val="20"/>
                <w:szCs w:val="20"/>
              </w:rPr>
              <w:t>e</w:t>
            </w:r>
            <w:r w:rsidRPr="00212620">
              <w:rPr>
                <w:rFonts w:ascii="Times New Roman" w:hAnsi="Times New Roman" w:cs="Times New Roman"/>
                <w:sz w:val="20"/>
                <w:szCs w:val="20"/>
              </w:rPr>
              <w:t xml:space="preserve"> Exposure Draft further explain the IASB’s rationale for these proposals</w:t>
            </w:r>
            <w:r>
              <w:rPr>
                <w:rFonts w:ascii="Times New Roman" w:hAnsi="Times New Roman" w:cs="Times New Roman"/>
                <w:sz w:val="20"/>
                <w:szCs w:val="20"/>
              </w:rPr>
              <w:t>.</w:t>
            </w:r>
          </w:p>
          <w:p w14:paraId="27C330F8" w14:textId="30C9485C" w:rsidR="00EF656C" w:rsidRDefault="00EF656C" w:rsidP="00212620">
            <w:pPr>
              <w:spacing w:before="120"/>
              <w:rPr>
                <w:rFonts w:ascii="Times New Roman" w:hAnsi="Times New Roman" w:cs="Times New Roman"/>
                <w:sz w:val="20"/>
                <w:szCs w:val="20"/>
              </w:rPr>
            </w:pPr>
            <w:r w:rsidRPr="00212620">
              <w:rPr>
                <w:rFonts w:ascii="Times New Roman" w:hAnsi="Times New Roman" w:cs="Times New Roman"/>
                <w:sz w:val="20"/>
                <w:szCs w:val="20"/>
              </w:rPr>
              <w:t>Paragraph BC177 of the Basis for Conclusions on th</w:t>
            </w:r>
            <w:r w:rsidR="00E71E3B">
              <w:rPr>
                <w:rFonts w:ascii="Times New Roman" w:hAnsi="Times New Roman" w:cs="Times New Roman"/>
                <w:sz w:val="20"/>
                <w:szCs w:val="20"/>
              </w:rPr>
              <w:t>e</w:t>
            </w:r>
            <w:r w:rsidRPr="00212620">
              <w:rPr>
                <w:rFonts w:ascii="Times New Roman" w:hAnsi="Times New Roman" w:cs="Times New Roman"/>
                <w:sz w:val="20"/>
                <w:szCs w:val="20"/>
              </w:rPr>
              <w:t xml:space="preserve"> Exposure Draft explains that there were mixed views on whether step acquisitions are relevant to SMEs. The IASB is asking for views on adding requirements for step acquisitions and on the proposed requirements themselves. Asking for views on whether to add requirements allows stakeholders to evaluate the proposals when responding to th</w:t>
            </w:r>
            <w:r w:rsidR="00B4390C">
              <w:rPr>
                <w:rFonts w:ascii="Times New Roman" w:hAnsi="Times New Roman" w:cs="Times New Roman"/>
                <w:sz w:val="20"/>
                <w:szCs w:val="20"/>
              </w:rPr>
              <w:t>e</w:t>
            </w:r>
            <w:r w:rsidRPr="00212620">
              <w:rPr>
                <w:rFonts w:ascii="Times New Roman" w:hAnsi="Times New Roman" w:cs="Times New Roman"/>
                <w:sz w:val="20"/>
                <w:szCs w:val="20"/>
              </w:rPr>
              <w:t xml:space="preserve"> Invitation to Comment.</w:t>
            </w:r>
          </w:p>
          <w:p w14:paraId="76DA35CB" w14:textId="063A6B52" w:rsidR="00EF656C" w:rsidRPr="009F21A3" w:rsidRDefault="00EF656C" w:rsidP="00235B38">
            <w:pPr>
              <w:pStyle w:val="ListParagraph"/>
              <w:snapToGrid w:val="0"/>
              <w:spacing w:before="60" w:after="60" w:line="360" w:lineRule="auto"/>
              <w:ind w:left="0"/>
              <w:contextualSpacing w:val="0"/>
              <w:rPr>
                <w:rFonts w:ascii="Times New Roman" w:hAnsi="Times New Roman" w:cs="Times New Roman"/>
                <w:b/>
                <w:sz w:val="20"/>
                <w:szCs w:val="20"/>
              </w:rPr>
            </w:pPr>
            <w:r>
              <w:t xml:space="preserve">* </w:t>
            </w:r>
            <w:r w:rsidRPr="00D834A2">
              <w:rPr>
                <w:rFonts w:ascii="Times New Roman" w:hAnsi="Times New Roman" w:cs="Times New Roman"/>
                <w:sz w:val="16"/>
                <w:szCs w:val="16"/>
              </w:rPr>
              <w:t>IFRS 3 refers to the IFRS 3 (2008) version, including subsequent amendments to IFRS 3.</w:t>
            </w:r>
          </w:p>
        </w:tc>
      </w:tr>
      <w:tr w:rsidR="00603888" w:rsidRPr="009F21A3" w14:paraId="59CF959D" w14:textId="77777777" w:rsidTr="00EF656C">
        <w:tc>
          <w:tcPr>
            <w:tcW w:w="704" w:type="dxa"/>
          </w:tcPr>
          <w:p w14:paraId="60A13FC8" w14:textId="0876AB09" w:rsidR="00603888" w:rsidRPr="009F21A3" w:rsidRDefault="00B81169"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lastRenderedPageBreak/>
              <w:t>7(i)</w:t>
            </w:r>
          </w:p>
        </w:tc>
        <w:tc>
          <w:tcPr>
            <w:tcW w:w="7512" w:type="dxa"/>
            <w:shd w:val="clear" w:color="auto" w:fill="auto"/>
          </w:tcPr>
          <w:p w14:paraId="499F1C26" w14:textId="09933F60" w:rsidR="00DE56DD" w:rsidRPr="0047436A" w:rsidRDefault="00B81169" w:rsidP="00C37998">
            <w:pPr>
              <w:pStyle w:val="TableParagraph"/>
              <w:spacing w:before="120" w:after="120" w:line="276" w:lineRule="auto"/>
              <w:ind w:left="0"/>
              <w:rPr>
                <w:rFonts w:ascii="Times New Roman" w:hAnsi="Times New Roman" w:cs="Times New Roman"/>
                <w:b/>
                <w:sz w:val="20"/>
                <w:szCs w:val="20"/>
              </w:rPr>
            </w:pPr>
            <w:r w:rsidRPr="00B81169">
              <w:rPr>
                <w:rFonts w:ascii="Times New Roman" w:hAnsi="Times New Roman" w:cs="Times New Roman"/>
                <w:b/>
                <w:bCs/>
                <w:sz w:val="20"/>
                <w:szCs w:val="20"/>
              </w:rPr>
              <w:t>Do you agree with the proposal to introduce requirements for the accounting for step acquisitions? If your answer is yes, do you agree with the proposed requirements in the Exposure Draft? If you disagree with the proposal, please explain why and give your alternative suggestion.</w:t>
            </w:r>
          </w:p>
        </w:tc>
        <w:tc>
          <w:tcPr>
            <w:tcW w:w="5813" w:type="dxa"/>
            <w:shd w:val="clear" w:color="auto" w:fill="auto"/>
          </w:tcPr>
          <w:p w14:paraId="7807AEF3"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2D46DAF5" w14:textId="77777777" w:rsidTr="00EF656C">
        <w:tc>
          <w:tcPr>
            <w:tcW w:w="704" w:type="dxa"/>
          </w:tcPr>
          <w:p w14:paraId="0BAB9343" w14:textId="623DBEB8" w:rsidR="00603888" w:rsidRPr="009F21A3" w:rsidRDefault="00B81169" w:rsidP="00235B38">
            <w:pPr>
              <w:pStyle w:val="ListParagraph"/>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7(ii)</w:t>
            </w:r>
          </w:p>
        </w:tc>
        <w:tc>
          <w:tcPr>
            <w:tcW w:w="7512" w:type="dxa"/>
            <w:shd w:val="clear" w:color="auto" w:fill="auto"/>
          </w:tcPr>
          <w:p w14:paraId="565DA42E" w14:textId="63F88699" w:rsidR="00DE56DD" w:rsidRPr="0047436A" w:rsidRDefault="00B81169" w:rsidP="00B81169">
            <w:pPr>
              <w:pStyle w:val="TableParagraph"/>
              <w:spacing w:before="120" w:after="120" w:line="276" w:lineRule="auto"/>
              <w:ind w:left="0"/>
              <w:rPr>
                <w:rFonts w:ascii="Times New Roman" w:hAnsi="Times New Roman" w:cs="Times New Roman"/>
                <w:b/>
                <w:sz w:val="20"/>
                <w:szCs w:val="20"/>
              </w:rPr>
            </w:pPr>
            <w:r w:rsidRPr="00B81169">
              <w:rPr>
                <w:rFonts w:ascii="Times New Roman" w:hAnsi="Times New Roman" w:cs="Times New Roman"/>
                <w:b/>
                <w:bCs/>
                <w:sz w:val="20"/>
                <w:szCs w:val="20"/>
              </w:rPr>
              <w:t>Do you agree that the IASB’s proposals appropriately simplify the measurement of non-controlling interests by excluding the option to measure them at fair value? If your answer is no, please explain your reasons.</w:t>
            </w:r>
          </w:p>
        </w:tc>
        <w:tc>
          <w:tcPr>
            <w:tcW w:w="5813" w:type="dxa"/>
            <w:shd w:val="clear" w:color="auto" w:fill="auto"/>
          </w:tcPr>
          <w:p w14:paraId="617053AC"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67AA56A7" w14:textId="77777777" w:rsidTr="00EF656C">
        <w:tc>
          <w:tcPr>
            <w:tcW w:w="704" w:type="dxa"/>
          </w:tcPr>
          <w:p w14:paraId="124AAAF2" w14:textId="211F1C35" w:rsidR="0064000D" w:rsidRPr="009F21A3" w:rsidRDefault="00B81169"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7(iii)</w:t>
            </w:r>
          </w:p>
        </w:tc>
        <w:tc>
          <w:tcPr>
            <w:tcW w:w="7512" w:type="dxa"/>
            <w:shd w:val="clear" w:color="auto" w:fill="auto"/>
          </w:tcPr>
          <w:p w14:paraId="430B97D2" w14:textId="43DB9562" w:rsidR="00DE56DD" w:rsidRPr="0047436A" w:rsidRDefault="00B81169" w:rsidP="00D514C9">
            <w:pPr>
              <w:spacing w:before="120"/>
              <w:rPr>
                <w:rFonts w:ascii="Times New Roman" w:eastAsia="Bookman Old Style" w:hAnsi="Times New Roman" w:cs="Times New Roman"/>
                <w:b/>
                <w:sz w:val="20"/>
                <w:szCs w:val="20"/>
                <w:lang w:val="en-US"/>
              </w:rPr>
            </w:pPr>
            <w:r w:rsidRPr="00B81169">
              <w:rPr>
                <w:rFonts w:ascii="Times New Roman" w:eastAsia="Bookman Old Style" w:hAnsi="Times New Roman" w:cs="Times New Roman"/>
                <w:b/>
                <w:bCs/>
                <w:sz w:val="20"/>
                <w:szCs w:val="20"/>
                <w:lang w:val="en-US"/>
              </w:rPr>
              <w:t>Do you have any further comments or suggestions on the proposed amendments to Section 19? Please explain the reasons for your suggestions.</w:t>
            </w:r>
          </w:p>
        </w:tc>
        <w:tc>
          <w:tcPr>
            <w:tcW w:w="5813" w:type="dxa"/>
            <w:shd w:val="clear" w:color="auto" w:fill="auto"/>
          </w:tcPr>
          <w:p w14:paraId="2ECC1E12"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EF656C" w:rsidRPr="009F21A3" w14:paraId="3D336A3B" w14:textId="77777777" w:rsidTr="00EF656C">
        <w:trPr>
          <w:cantSplit/>
        </w:trPr>
        <w:tc>
          <w:tcPr>
            <w:tcW w:w="704" w:type="dxa"/>
            <w:shd w:val="clear" w:color="auto" w:fill="D9D9D9" w:themeFill="background1" w:themeFillShade="D9"/>
          </w:tcPr>
          <w:p w14:paraId="0CCB34C4" w14:textId="6F1A2100" w:rsidR="00EF656C" w:rsidRPr="009F21A3" w:rsidRDefault="00EF656C" w:rsidP="0047436A">
            <w:pPr>
              <w:pStyle w:val="ListParagraph"/>
              <w:keepNext/>
              <w:keepLines/>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lastRenderedPageBreak/>
              <w:t>8</w:t>
            </w:r>
          </w:p>
        </w:tc>
        <w:tc>
          <w:tcPr>
            <w:tcW w:w="13325" w:type="dxa"/>
            <w:gridSpan w:val="2"/>
            <w:shd w:val="clear" w:color="auto" w:fill="D9D9D9" w:themeFill="background1" w:themeFillShade="D9"/>
          </w:tcPr>
          <w:p w14:paraId="052B6023" w14:textId="77777777" w:rsidR="00EF656C" w:rsidRDefault="00EF656C" w:rsidP="0047436A">
            <w:pPr>
              <w:keepNext/>
              <w:keepLines/>
              <w:spacing w:before="120"/>
              <w:rPr>
                <w:rStyle w:val="Heading2Char"/>
                <w:rFonts w:eastAsiaTheme="minorHAnsi" w:cs="Times New Roman"/>
                <w:szCs w:val="20"/>
              </w:rPr>
            </w:pPr>
            <w:r w:rsidRPr="00EA5F65">
              <w:rPr>
                <w:rStyle w:val="Heading2Char"/>
                <w:rFonts w:eastAsiaTheme="minorHAnsi" w:cs="Times New Roman"/>
                <w:szCs w:val="20"/>
              </w:rPr>
              <w:t xml:space="preserve">Question </w:t>
            </w:r>
            <w:r>
              <w:rPr>
                <w:rStyle w:val="Heading2Char"/>
                <w:rFonts w:eastAsiaTheme="minorHAnsi" w:cs="Times New Roman"/>
                <w:szCs w:val="20"/>
              </w:rPr>
              <w:t>8</w:t>
            </w:r>
            <w:r w:rsidRPr="00EA5F65">
              <w:rPr>
                <w:rStyle w:val="Heading2Char"/>
                <w:rFonts w:eastAsiaTheme="minorHAnsi" w:cs="Times New Roman"/>
                <w:szCs w:val="20"/>
              </w:rPr>
              <w:t>—</w:t>
            </w:r>
            <w:r>
              <w:rPr>
                <w:rStyle w:val="Heading2Char"/>
                <w:rFonts w:eastAsiaTheme="minorHAnsi" w:cs="Times New Roman"/>
                <w:szCs w:val="20"/>
              </w:rPr>
              <w:t>Revised Section 23</w:t>
            </w:r>
            <w:r>
              <w:rPr>
                <w:rStyle w:val="Heading2Char"/>
                <w:rFonts w:eastAsiaTheme="minorHAnsi" w:cs="Times New Roman"/>
                <w:i/>
                <w:iCs/>
                <w:szCs w:val="20"/>
              </w:rPr>
              <w:t xml:space="preserve"> Revenue </w:t>
            </w:r>
            <w:r>
              <w:rPr>
                <w:rStyle w:val="Heading2Char"/>
                <w:rFonts w:eastAsiaTheme="minorHAnsi" w:cs="Times New Roman"/>
                <w:szCs w:val="20"/>
              </w:rPr>
              <w:t xml:space="preserve">(renamed </w:t>
            </w:r>
            <w:r>
              <w:rPr>
                <w:rStyle w:val="Heading2Char"/>
                <w:rFonts w:eastAsiaTheme="minorHAnsi" w:cs="Times New Roman"/>
                <w:i/>
                <w:iCs/>
                <w:szCs w:val="20"/>
              </w:rPr>
              <w:t>Revenue from Contracts with Customers</w:t>
            </w:r>
            <w:r>
              <w:rPr>
                <w:rStyle w:val="Heading2Char"/>
                <w:rFonts w:eastAsiaTheme="minorHAnsi" w:cs="Times New Roman"/>
                <w:szCs w:val="20"/>
              </w:rPr>
              <w:t>)</w:t>
            </w:r>
          </w:p>
          <w:p w14:paraId="6C13CBD2" w14:textId="77777777" w:rsidR="00EF656C" w:rsidRDefault="00EF656C" w:rsidP="0047436A">
            <w:pPr>
              <w:keepNext/>
              <w:keepLines/>
              <w:spacing w:before="120"/>
              <w:rPr>
                <w:rFonts w:ascii="Times New Roman" w:hAnsi="Times New Roman" w:cs="Times New Roman"/>
                <w:sz w:val="20"/>
                <w:szCs w:val="20"/>
              </w:rPr>
            </w:pPr>
            <w:r w:rsidRPr="00B81169">
              <w:rPr>
                <w:rFonts w:ascii="Times New Roman" w:hAnsi="Times New Roman" w:cs="Times New Roman"/>
                <w:sz w:val="20"/>
                <w:szCs w:val="20"/>
              </w:rPr>
              <w:t xml:space="preserve">The IASB in its Request for Information asked for views on possible approaches to aligning Section 23 </w:t>
            </w:r>
            <w:r w:rsidRPr="003C5EE8">
              <w:rPr>
                <w:rFonts w:ascii="Times New Roman" w:hAnsi="Times New Roman" w:cs="Times New Roman"/>
                <w:i/>
                <w:iCs/>
                <w:sz w:val="20"/>
                <w:szCs w:val="20"/>
              </w:rPr>
              <w:t>Revenue</w:t>
            </w:r>
            <w:r w:rsidRPr="00B81169">
              <w:rPr>
                <w:rFonts w:ascii="Times New Roman" w:hAnsi="Times New Roman" w:cs="Times New Roman"/>
                <w:sz w:val="20"/>
                <w:szCs w:val="20"/>
              </w:rPr>
              <w:t xml:space="preserve"> with IFRS 15 </w:t>
            </w:r>
            <w:r w:rsidRPr="003C5EE8">
              <w:rPr>
                <w:rFonts w:ascii="Times New Roman" w:hAnsi="Times New Roman" w:cs="Times New Roman"/>
                <w:i/>
                <w:iCs/>
                <w:sz w:val="20"/>
                <w:szCs w:val="20"/>
              </w:rPr>
              <w:t>Revenue from Contracts with Customers</w:t>
            </w:r>
            <w:r w:rsidRPr="00B81169">
              <w:rPr>
                <w:rFonts w:ascii="Times New Roman" w:hAnsi="Times New Roman" w:cs="Times New Roman"/>
                <w:sz w:val="20"/>
                <w:szCs w:val="20"/>
              </w:rPr>
              <w:t>. Respondents favoured this alignment without identifying a preferred approach.</w:t>
            </w:r>
          </w:p>
          <w:p w14:paraId="4E7F1E77" w14:textId="77777777" w:rsidR="00EF656C" w:rsidRDefault="00EF656C" w:rsidP="0047436A">
            <w:pPr>
              <w:keepNext/>
              <w:keepLines/>
              <w:spacing w:before="120"/>
              <w:rPr>
                <w:rFonts w:ascii="Times New Roman" w:hAnsi="Times New Roman" w:cs="Times New Roman"/>
                <w:sz w:val="20"/>
                <w:szCs w:val="20"/>
              </w:rPr>
            </w:pPr>
            <w:r w:rsidRPr="00B81169">
              <w:rPr>
                <w:rFonts w:ascii="Times New Roman" w:hAnsi="Times New Roman" w:cs="Times New Roman"/>
                <w:sz w:val="20"/>
                <w:szCs w:val="20"/>
              </w:rPr>
              <w:t xml:space="preserve">Consequently, the IASB is proposing to revise Section 23 to align it with the principles and language used in IFRS 15. The revised requirements are based on the five-step model in IFRS 15, with simplifications that retain the basic principles in IFRS 15 for recognising revenue. </w:t>
            </w:r>
          </w:p>
          <w:p w14:paraId="310F90D1" w14:textId="41B5D493" w:rsidR="00EF656C" w:rsidRPr="009F21A3" w:rsidRDefault="00EF656C" w:rsidP="0047436A">
            <w:pPr>
              <w:keepNext/>
              <w:keepLines/>
              <w:spacing w:before="120"/>
              <w:rPr>
                <w:rFonts w:ascii="Times New Roman" w:hAnsi="Times New Roman" w:cs="Times New Roman"/>
                <w:b/>
                <w:sz w:val="20"/>
                <w:szCs w:val="20"/>
              </w:rPr>
            </w:pPr>
            <w:r w:rsidRPr="00B81169">
              <w:rPr>
                <w:rFonts w:ascii="Times New Roman" w:hAnsi="Times New Roman" w:cs="Times New Roman"/>
                <w:sz w:val="20"/>
                <w:szCs w:val="20"/>
              </w:rPr>
              <w:t>Paragraphs BC184–BC193 of the Basis for Conclusions on th</w:t>
            </w:r>
            <w:r w:rsidR="00E71E3B">
              <w:rPr>
                <w:rFonts w:ascii="Times New Roman" w:hAnsi="Times New Roman" w:cs="Times New Roman"/>
                <w:sz w:val="20"/>
                <w:szCs w:val="20"/>
              </w:rPr>
              <w:t>e</w:t>
            </w:r>
            <w:r w:rsidRPr="00B81169">
              <w:rPr>
                <w:rFonts w:ascii="Times New Roman" w:hAnsi="Times New Roman" w:cs="Times New Roman"/>
                <w:sz w:val="20"/>
                <w:szCs w:val="20"/>
              </w:rPr>
              <w:t xml:space="preserve"> Exposure Draft further explain the IASB’s rationale for this proposal and the proposed simplifications of the IFRS 15 requirements</w:t>
            </w:r>
            <w:r>
              <w:rPr>
                <w:rFonts w:ascii="Times New Roman" w:hAnsi="Times New Roman" w:cs="Times New Roman"/>
                <w:sz w:val="20"/>
                <w:szCs w:val="20"/>
              </w:rPr>
              <w:t>.</w:t>
            </w:r>
          </w:p>
        </w:tc>
      </w:tr>
      <w:tr w:rsidR="00603888" w:rsidRPr="009F21A3" w14:paraId="1D2D44FE" w14:textId="77777777" w:rsidTr="00EF656C">
        <w:tc>
          <w:tcPr>
            <w:tcW w:w="704" w:type="dxa"/>
          </w:tcPr>
          <w:p w14:paraId="787F3E22" w14:textId="1B74ECAD" w:rsidR="00603888" w:rsidRPr="009F21A3" w:rsidRDefault="00D27424" w:rsidP="0047436A">
            <w:pPr>
              <w:pStyle w:val="ListParagraph"/>
              <w:keepNext/>
              <w:keepLines/>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8(i)</w:t>
            </w:r>
          </w:p>
        </w:tc>
        <w:tc>
          <w:tcPr>
            <w:tcW w:w="7512" w:type="dxa"/>
            <w:shd w:val="clear" w:color="auto" w:fill="auto"/>
          </w:tcPr>
          <w:p w14:paraId="4F374B93" w14:textId="10A4520C" w:rsidR="00DE56DD" w:rsidRPr="00672FB3" w:rsidRDefault="00D27424" w:rsidP="0047436A">
            <w:pPr>
              <w:pStyle w:val="TableParagraph"/>
              <w:keepNext/>
              <w:keepLines/>
              <w:spacing w:before="120" w:after="120" w:line="276" w:lineRule="auto"/>
              <w:ind w:left="0" w:right="358"/>
              <w:rPr>
                <w:rFonts w:ascii="Times New Roman" w:hAnsi="Times New Roman" w:cs="Times New Roman"/>
                <w:b/>
                <w:sz w:val="20"/>
                <w:szCs w:val="20"/>
              </w:rPr>
            </w:pPr>
            <w:r w:rsidRPr="00D27424">
              <w:rPr>
                <w:rFonts w:ascii="Times New Roman" w:hAnsi="Times New Roman" w:cs="Times New Roman"/>
                <w:b/>
                <w:bCs/>
                <w:sz w:val="20"/>
                <w:szCs w:val="20"/>
              </w:rPr>
              <w:t>Do you agree that the revised Section 23 would be appropriate for SMEs and users of their financial statements? If not, what modifications—for example, further simplifications or additional guidance—do you suggest and why?</w:t>
            </w:r>
          </w:p>
        </w:tc>
        <w:tc>
          <w:tcPr>
            <w:tcW w:w="5813" w:type="dxa"/>
            <w:shd w:val="clear" w:color="auto" w:fill="auto"/>
          </w:tcPr>
          <w:p w14:paraId="175B1B26" w14:textId="77777777" w:rsidR="00603888" w:rsidRPr="009F21A3" w:rsidRDefault="00603888" w:rsidP="0047436A">
            <w:pPr>
              <w:pStyle w:val="ListParagraph"/>
              <w:keepNext/>
              <w:keepLines/>
              <w:snapToGrid w:val="0"/>
              <w:spacing w:before="60" w:after="60" w:line="360" w:lineRule="auto"/>
              <w:ind w:left="0"/>
              <w:contextualSpacing w:val="0"/>
              <w:rPr>
                <w:rFonts w:ascii="Times New Roman" w:hAnsi="Times New Roman" w:cs="Times New Roman"/>
                <w:b/>
                <w:sz w:val="20"/>
                <w:szCs w:val="20"/>
              </w:rPr>
            </w:pPr>
          </w:p>
        </w:tc>
      </w:tr>
      <w:tr w:rsidR="00CC57D5" w:rsidRPr="009F21A3" w14:paraId="003305BA" w14:textId="77777777" w:rsidTr="00CC57D5">
        <w:trPr>
          <w:cantSplit/>
        </w:trPr>
        <w:tc>
          <w:tcPr>
            <w:tcW w:w="704" w:type="dxa"/>
            <w:shd w:val="clear" w:color="auto" w:fill="D9D9D9" w:themeFill="background1" w:themeFillShade="D9"/>
            <w:vAlign w:val="center"/>
          </w:tcPr>
          <w:p w14:paraId="6B7AFE47" w14:textId="77777777" w:rsidR="00CC57D5" w:rsidRDefault="00CC57D5" w:rsidP="0047436A">
            <w:pPr>
              <w:pStyle w:val="ListParagraph"/>
              <w:keepNext/>
              <w:keepLines/>
              <w:spacing w:before="120" w:after="60" w:line="360" w:lineRule="auto"/>
              <w:ind w:left="0"/>
              <w:contextualSpacing w:val="0"/>
              <w:rPr>
                <w:rFonts w:ascii="Times New Roman" w:hAnsi="Times New Roman" w:cs="Times New Roman"/>
                <w:sz w:val="20"/>
                <w:szCs w:val="20"/>
              </w:rPr>
            </w:pPr>
          </w:p>
          <w:p w14:paraId="26130468" w14:textId="77777777" w:rsidR="00CC57D5" w:rsidRDefault="00CC57D5" w:rsidP="0047436A">
            <w:pPr>
              <w:pStyle w:val="ListParagraph"/>
              <w:keepNext/>
              <w:keepLines/>
              <w:spacing w:before="120" w:after="60" w:line="360" w:lineRule="auto"/>
              <w:ind w:left="0"/>
              <w:contextualSpacing w:val="0"/>
              <w:rPr>
                <w:rFonts w:ascii="Times New Roman" w:hAnsi="Times New Roman" w:cs="Times New Roman"/>
                <w:sz w:val="20"/>
                <w:szCs w:val="20"/>
              </w:rPr>
            </w:pPr>
          </w:p>
          <w:p w14:paraId="6CBC82FC" w14:textId="7D9FF40F" w:rsidR="00CC57D5" w:rsidRPr="009F21A3" w:rsidRDefault="00CC57D5" w:rsidP="0047436A">
            <w:pPr>
              <w:pStyle w:val="ListParagraph"/>
              <w:keepNext/>
              <w:keepLines/>
              <w:spacing w:before="120" w:after="60" w:line="360" w:lineRule="auto"/>
              <w:ind w:left="0"/>
              <w:contextualSpacing w:val="0"/>
              <w:rPr>
                <w:rFonts w:ascii="Times New Roman" w:hAnsi="Times New Roman" w:cs="Times New Roman"/>
                <w:sz w:val="20"/>
                <w:szCs w:val="20"/>
              </w:rPr>
            </w:pPr>
          </w:p>
        </w:tc>
        <w:tc>
          <w:tcPr>
            <w:tcW w:w="13325" w:type="dxa"/>
            <w:gridSpan w:val="2"/>
            <w:shd w:val="clear" w:color="auto" w:fill="D9D9D9" w:themeFill="background1" w:themeFillShade="D9"/>
          </w:tcPr>
          <w:p w14:paraId="363DAFFA" w14:textId="77777777" w:rsidR="00CC57D5" w:rsidRDefault="00CC57D5" w:rsidP="0047436A">
            <w:pPr>
              <w:pStyle w:val="TableParagraph"/>
              <w:keepNext/>
              <w:keepLines/>
              <w:spacing w:before="120" w:after="120" w:line="276" w:lineRule="auto"/>
              <w:ind w:left="0"/>
              <w:rPr>
                <w:rFonts w:ascii="Times New Roman" w:hAnsi="Times New Roman" w:cs="Times New Roman"/>
                <w:sz w:val="20"/>
                <w:szCs w:val="20"/>
              </w:rPr>
            </w:pPr>
            <w:r w:rsidRPr="00D27424">
              <w:rPr>
                <w:rFonts w:ascii="Times New Roman" w:hAnsi="Times New Roman" w:cs="Times New Roman"/>
                <w:sz w:val="20"/>
                <w:szCs w:val="20"/>
              </w:rPr>
              <w:t xml:space="preserve">Determining whether a good or service promised to a customer is distinct can involve judgement. To assist entities in making this assessment, the IASB is proposing to simplify the requirements in paragraphs 27–29 of IFRS 15 by: </w:t>
            </w:r>
          </w:p>
          <w:p w14:paraId="7794DD10" w14:textId="77777777" w:rsidR="00CC57D5" w:rsidRDefault="00CC57D5" w:rsidP="0047436A">
            <w:pPr>
              <w:pStyle w:val="Boardpaperlevel2"/>
              <w:keepNext/>
              <w:keepLines/>
              <w:numPr>
                <w:ilvl w:val="0"/>
                <w:numId w:val="35"/>
              </w:numPr>
              <w:spacing w:before="120" w:line="276" w:lineRule="auto"/>
              <w:ind w:right="0"/>
              <w:rPr>
                <w:sz w:val="20"/>
                <w:szCs w:val="20"/>
              </w:rPr>
            </w:pPr>
            <w:r w:rsidRPr="00D27424">
              <w:rPr>
                <w:sz w:val="20"/>
                <w:szCs w:val="20"/>
              </w:rPr>
              <w:t xml:space="preserve">specifying that a good or service that an SME regularly sells separately is capable of being distinct (see paragraph 23.21 of the Exposure Draft); </w:t>
            </w:r>
          </w:p>
          <w:p w14:paraId="47C13BB9" w14:textId="77777777" w:rsidR="00CC57D5" w:rsidRDefault="00CC57D5" w:rsidP="0047436A">
            <w:pPr>
              <w:pStyle w:val="Boardpaperlevel2"/>
              <w:keepNext/>
              <w:keepLines/>
              <w:numPr>
                <w:ilvl w:val="0"/>
                <w:numId w:val="35"/>
              </w:numPr>
              <w:spacing w:before="120" w:line="276" w:lineRule="auto"/>
              <w:ind w:right="0"/>
              <w:rPr>
                <w:sz w:val="20"/>
                <w:szCs w:val="20"/>
              </w:rPr>
            </w:pPr>
            <w:r w:rsidRPr="00D27424">
              <w:rPr>
                <w:sz w:val="20"/>
                <w:szCs w:val="20"/>
              </w:rPr>
              <w:t xml:space="preserve">expressing the criterion in paragraph 27(b) of IFRS 15 in simpler language and reflecting the objective of the criterion by focusing on whether a good or service is an input used to produce a combined item or items transferred to the customer (see paragraphs 23.20(b) and 23.23 of the Exposure Draft); and </w:t>
            </w:r>
          </w:p>
          <w:p w14:paraId="749E83CB" w14:textId="35743FD2" w:rsidR="00CC57D5" w:rsidRPr="00A800ED" w:rsidRDefault="00CC57D5" w:rsidP="0047436A">
            <w:pPr>
              <w:pStyle w:val="Boardpaperlevel2"/>
              <w:keepNext/>
              <w:keepLines/>
              <w:numPr>
                <w:ilvl w:val="0"/>
                <w:numId w:val="35"/>
              </w:numPr>
              <w:spacing w:before="120" w:line="276" w:lineRule="auto"/>
              <w:ind w:right="0"/>
              <w:rPr>
                <w:sz w:val="20"/>
                <w:szCs w:val="20"/>
              </w:rPr>
            </w:pPr>
            <w:r w:rsidRPr="00D27424">
              <w:rPr>
                <w:sz w:val="20"/>
                <w:szCs w:val="20"/>
              </w:rPr>
              <w:t xml:space="preserve">including examples that illustrate the factors supporting that criterion (see paragraph 23.23(a)–(c) of the Exposure Draft). </w:t>
            </w:r>
          </w:p>
        </w:tc>
      </w:tr>
      <w:tr w:rsidR="00DB7571" w:rsidRPr="009F21A3" w14:paraId="323EF91D" w14:textId="77777777" w:rsidTr="00CC57D5">
        <w:tc>
          <w:tcPr>
            <w:tcW w:w="704" w:type="dxa"/>
            <w:shd w:val="clear" w:color="auto" w:fill="auto"/>
          </w:tcPr>
          <w:p w14:paraId="7CC43D54" w14:textId="7C62CBE5" w:rsidR="00DB7571" w:rsidRDefault="00CC57D5" w:rsidP="0047436A">
            <w:pPr>
              <w:pStyle w:val="ListParagraph"/>
              <w:keepNext/>
              <w:keepLines/>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8(ii)</w:t>
            </w:r>
          </w:p>
        </w:tc>
        <w:tc>
          <w:tcPr>
            <w:tcW w:w="7512" w:type="dxa"/>
            <w:shd w:val="clear" w:color="auto" w:fill="auto"/>
          </w:tcPr>
          <w:p w14:paraId="0F71C8CA" w14:textId="66D24ACC" w:rsidR="00DE56DD" w:rsidRPr="00672FB3" w:rsidRDefault="00DB7571" w:rsidP="0047436A">
            <w:pPr>
              <w:pStyle w:val="TableParagraph"/>
              <w:keepNext/>
              <w:keepLines/>
              <w:spacing w:before="120" w:after="120" w:line="276" w:lineRule="auto"/>
              <w:ind w:left="0"/>
              <w:rPr>
                <w:rFonts w:ascii="Times New Roman" w:hAnsi="Times New Roman" w:cs="Times New Roman"/>
                <w:b/>
                <w:sz w:val="20"/>
                <w:szCs w:val="20"/>
              </w:rPr>
            </w:pPr>
            <w:r w:rsidRPr="00E625F0">
              <w:rPr>
                <w:rFonts w:ascii="Times New Roman" w:hAnsi="Times New Roman" w:cs="Times New Roman"/>
                <w:b/>
                <w:bCs/>
                <w:sz w:val="20"/>
                <w:szCs w:val="20"/>
              </w:rPr>
              <w:t>Do you believe the guidance is appropriate and adequate for entities to make the assessment of whether a good or service is distinct? If not, is there any guidance that could be removed or additional guidance that is needed</w:t>
            </w:r>
          </w:p>
        </w:tc>
        <w:tc>
          <w:tcPr>
            <w:tcW w:w="5813" w:type="dxa"/>
            <w:shd w:val="clear" w:color="auto" w:fill="auto"/>
          </w:tcPr>
          <w:p w14:paraId="1B3097DF" w14:textId="77777777" w:rsidR="00DB7571" w:rsidRPr="009F21A3" w:rsidRDefault="00DB7571" w:rsidP="0047436A">
            <w:pPr>
              <w:pStyle w:val="ListParagraph"/>
              <w:keepNext/>
              <w:keepLines/>
              <w:spacing w:before="60" w:after="60" w:line="360" w:lineRule="auto"/>
              <w:ind w:left="0"/>
              <w:rPr>
                <w:rFonts w:ascii="Times New Roman" w:hAnsi="Times New Roman" w:cs="Times New Roman"/>
                <w:b/>
                <w:sz w:val="20"/>
                <w:szCs w:val="20"/>
              </w:rPr>
            </w:pPr>
          </w:p>
        </w:tc>
      </w:tr>
      <w:tr w:rsidR="00CC57D5" w:rsidRPr="009F21A3" w14:paraId="0D44611B" w14:textId="77777777" w:rsidTr="00CC57D5">
        <w:tc>
          <w:tcPr>
            <w:tcW w:w="704" w:type="dxa"/>
            <w:shd w:val="clear" w:color="auto" w:fill="D9D9D9" w:themeFill="background1" w:themeFillShade="D9"/>
          </w:tcPr>
          <w:p w14:paraId="28003D9C" w14:textId="134DF026" w:rsidR="00CC57D5" w:rsidRDefault="00CC57D5" w:rsidP="00672FB3">
            <w:pPr>
              <w:pStyle w:val="ListParagraph"/>
              <w:keepNext/>
              <w:keepLines/>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lastRenderedPageBreak/>
              <w:t>9</w:t>
            </w:r>
          </w:p>
        </w:tc>
        <w:tc>
          <w:tcPr>
            <w:tcW w:w="13325" w:type="dxa"/>
            <w:gridSpan w:val="2"/>
            <w:shd w:val="clear" w:color="auto" w:fill="D9D9D9" w:themeFill="background1" w:themeFillShade="D9"/>
          </w:tcPr>
          <w:p w14:paraId="556B50E9" w14:textId="77777777" w:rsidR="00CC57D5" w:rsidRDefault="00CC57D5" w:rsidP="00672FB3">
            <w:pPr>
              <w:keepNext/>
              <w:keepLines/>
              <w:spacing w:before="120" w:after="60"/>
              <w:rPr>
                <w:rFonts w:ascii="Times New Roman" w:hAnsi="Times New Roman" w:cs="Times New Roman"/>
                <w:b/>
                <w:bCs/>
                <w:sz w:val="20"/>
                <w:szCs w:val="20"/>
              </w:rPr>
            </w:pPr>
            <w:r>
              <w:rPr>
                <w:rFonts w:ascii="Times New Roman" w:hAnsi="Times New Roman" w:cs="Times New Roman"/>
                <w:b/>
                <w:bCs/>
                <w:sz w:val="20"/>
                <w:szCs w:val="20"/>
              </w:rPr>
              <w:t xml:space="preserve">Question 9–Proposed amendments to Section 28 </w:t>
            </w:r>
            <w:r>
              <w:rPr>
                <w:rFonts w:ascii="Times New Roman" w:hAnsi="Times New Roman" w:cs="Times New Roman"/>
                <w:b/>
                <w:bCs/>
                <w:i/>
                <w:iCs/>
                <w:sz w:val="20"/>
                <w:szCs w:val="20"/>
              </w:rPr>
              <w:t xml:space="preserve">Employee Benefits </w:t>
            </w:r>
          </w:p>
          <w:p w14:paraId="110BCF18" w14:textId="77777777" w:rsidR="00CC57D5" w:rsidRPr="00DB7571" w:rsidRDefault="00CC57D5" w:rsidP="00672FB3">
            <w:pPr>
              <w:keepNext/>
              <w:keepLines/>
              <w:spacing w:before="120" w:after="60"/>
              <w:rPr>
                <w:rFonts w:ascii="Times New Roman" w:hAnsi="Times New Roman" w:cs="Times New Roman"/>
                <w:sz w:val="20"/>
                <w:szCs w:val="20"/>
              </w:rPr>
            </w:pPr>
            <w:r w:rsidRPr="00DB7571">
              <w:rPr>
                <w:rFonts w:ascii="Times New Roman" w:hAnsi="Times New Roman" w:cs="Times New Roman"/>
                <w:sz w:val="20"/>
                <w:szCs w:val="20"/>
              </w:rPr>
              <w:t xml:space="preserve">The IASB in its Request for Information asked for views on applying paragraph 28.19 of the Standard, that is the measurement simplifications for defined benefit obligations. </w:t>
            </w:r>
          </w:p>
          <w:p w14:paraId="6EF377B6" w14:textId="24D1344F" w:rsidR="00CC57D5" w:rsidRPr="009F21A3" w:rsidRDefault="00CC57D5" w:rsidP="00672FB3">
            <w:pPr>
              <w:keepNext/>
              <w:keepLines/>
              <w:autoSpaceDE w:val="0"/>
              <w:autoSpaceDN w:val="0"/>
              <w:adjustRightInd w:val="0"/>
              <w:spacing w:before="60" w:after="60"/>
              <w:rPr>
                <w:rFonts w:ascii="Times New Roman" w:hAnsi="Times New Roman" w:cs="Times New Roman"/>
                <w:b/>
                <w:sz w:val="20"/>
                <w:szCs w:val="20"/>
              </w:rPr>
            </w:pPr>
            <w:r w:rsidRPr="00DB7571">
              <w:rPr>
                <w:rFonts w:ascii="Times New Roman" w:hAnsi="Times New Roman" w:cs="Times New Roman"/>
                <w:sz w:val="20"/>
                <w:szCs w:val="20"/>
              </w:rPr>
              <w:t>The feedback identified challenges when applying paragraph 28.19, resulting in diversity of application. However, the feedback also provided evidence that only a few entities apply paragraph 28.19. Therefore, the IASB is proposing to delete paragraph 28.19. Paragraphs BC197–BC203 of the Basis for Conclusions on th</w:t>
            </w:r>
            <w:r w:rsidR="00E71E3B">
              <w:rPr>
                <w:rFonts w:ascii="Times New Roman" w:hAnsi="Times New Roman" w:cs="Times New Roman"/>
                <w:sz w:val="20"/>
                <w:szCs w:val="20"/>
              </w:rPr>
              <w:t>e</w:t>
            </w:r>
            <w:r w:rsidRPr="00DB7571">
              <w:rPr>
                <w:rFonts w:ascii="Times New Roman" w:hAnsi="Times New Roman" w:cs="Times New Roman"/>
                <w:sz w:val="20"/>
                <w:szCs w:val="20"/>
              </w:rPr>
              <w:t xml:space="preserve"> Exposure Draft explain the IASB’s rationale for this proposal.</w:t>
            </w:r>
          </w:p>
        </w:tc>
      </w:tr>
      <w:tr w:rsidR="00603888" w:rsidRPr="009F21A3" w14:paraId="62813A83" w14:textId="77777777" w:rsidTr="00CC57D5">
        <w:tc>
          <w:tcPr>
            <w:tcW w:w="704" w:type="dxa"/>
          </w:tcPr>
          <w:p w14:paraId="406F512A" w14:textId="69AC702D" w:rsidR="00603888" w:rsidRPr="009F21A3" w:rsidRDefault="00E625F0" w:rsidP="00672FB3">
            <w:pPr>
              <w:pStyle w:val="ListParagraph"/>
              <w:keepNext/>
              <w:keepLines/>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9</w:t>
            </w:r>
            <w:r w:rsidR="00DB7571">
              <w:rPr>
                <w:rFonts w:ascii="Times New Roman" w:hAnsi="Times New Roman" w:cs="Times New Roman"/>
                <w:sz w:val="20"/>
                <w:szCs w:val="20"/>
              </w:rPr>
              <w:t>(i)</w:t>
            </w:r>
          </w:p>
        </w:tc>
        <w:tc>
          <w:tcPr>
            <w:tcW w:w="7512" w:type="dxa"/>
            <w:shd w:val="clear" w:color="auto" w:fill="auto"/>
          </w:tcPr>
          <w:p w14:paraId="7DCAC83B" w14:textId="77744CFE" w:rsidR="006D729C" w:rsidRPr="00DB7571" w:rsidRDefault="00DB7571" w:rsidP="00672FB3">
            <w:pPr>
              <w:keepNext/>
              <w:keepLines/>
              <w:spacing w:before="120" w:after="60"/>
              <w:rPr>
                <w:rFonts w:ascii="Times New Roman" w:hAnsi="Times New Roman" w:cs="Times New Roman"/>
                <w:b/>
                <w:bCs/>
                <w:sz w:val="20"/>
                <w:szCs w:val="20"/>
              </w:rPr>
            </w:pPr>
            <w:r w:rsidRPr="00DB7571">
              <w:rPr>
                <w:rFonts w:ascii="Times New Roman" w:hAnsi="Times New Roman" w:cs="Times New Roman"/>
                <w:b/>
                <w:bCs/>
                <w:sz w:val="20"/>
                <w:szCs w:val="20"/>
              </w:rPr>
              <w:t>Do you agree that only a few entities apply the measurement simplifications for defined benefits? Therefore, do you agree with the IASB’s proposal to delete paragraph 28.19?</w:t>
            </w:r>
          </w:p>
        </w:tc>
        <w:tc>
          <w:tcPr>
            <w:tcW w:w="5813" w:type="dxa"/>
            <w:shd w:val="clear" w:color="auto" w:fill="auto"/>
          </w:tcPr>
          <w:p w14:paraId="677083E8" w14:textId="77777777" w:rsidR="00603888" w:rsidRPr="009F21A3" w:rsidRDefault="00603888" w:rsidP="00672FB3">
            <w:pPr>
              <w:keepNext/>
              <w:keepLines/>
              <w:autoSpaceDE w:val="0"/>
              <w:autoSpaceDN w:val="0"/>
              <w:adjustRightInd w:val="0"/>
              <w:spacing w:before="60" w:after="60" w:line="360" w:lineRule="auto"/>
              <w:rPr>
                <w:rFonts w:ascii="Times New Roman" w:hAnsi="Times New Roman" w:cs="Times New Roman"/>
                <w:b/>
                <w:sz w:val="20"/>
                <w:szCs w:val="20"/>
              </w:rPr>
            </w:pPr>
          </w:p>
        </w:tc>
      </w:tr>
      <w:tr w:rsidR="006D729C" w:rsidRPr="009F21A3" w14:paraId="17E2A385" w14:textId="77777777" w:rsidTr="005308DF">
        <w:trPr>
          <w:trHeight w:val="2307"/>
        </w:trPr>
        <w:tc>
          <w:tcPr>
            <w:tcW w:w="704" w:type="dxa"/>
            <w:shd w:val="clear" w:color="auto" w:fill="D9D9D9" w:themeFill="background1" w:themeFillShade="D9"/>
          </w:tcPr>
          <w:p w14:paraId="1B837918" w14:textId="3B08D446" w:rsidR="006D729C" w:rsidRPr="009F21A3" w:rsidRDefault="006D729C" w:rsidP="00672FB3">
            <w:pPr>
              <w:pStyle w:val="ListParagraph"/>
              <w:keepNext/>
              <w:keepLines/>
              <w:spacing w:before="120" w:after="60" w:line="360" w:lineRule="auto"/>
              <w:ind w:left="0"/>
              <w:contextualSpacing w:val="0"/>
              <w:rPr>
                <w:rFonts w:ascii="Times New Roman" w:hAnsi="Times New Roman" w:cs="Times New Roman"/>
                <w:sz w:val="20"/>
                <w:szCs w:val="20"/>
              </w:rPr>
            </w:pPr>
          </w:p>
        </w:tc>
        <w:tc>
          <w:tcPr>
            <w:tcW w:w="13325" w:type="dxa"/>
            <w:gridSpan w:val="2"/>
            <w:shd w:val="clear" w:color="auto" w:fill="D9D9D9" w:themeFill="background1" w:themeFillShade="D9"/>
          </w:tcPr>
          <w:p w14:paraId="7B661A68" w14:textId="77777777" w:rsidR="006D729C" w:rsidRDefault="006D729C" w:rsidP="00672FB3">
            <w:pPr>
              <w:pStyle w:val="Boardpaperlevel2"/>
              <w:keepNext/>
              <w:keepLines/>
              <w:numPr>
                <w:ilvl w:val="0"/>
                <w:numId w:val="0"/>
              </w:numPr>
              <w:spacing w:before="120" w:line="276" w:lineRule="auto"/>
              <w:ind w:right="0"/>
              <w:rPr>
                <w:sz w:val="20"/>
                <w:szCs w:val="20"/>
              </w:rPr>
            </w:pPr>
            <w:r>
              <w:rPr>
                <w:sz w:val="20"/>
                <w:szCs w:val="20"/>
              </w:rPr>
              <w:t>Alternatively, if you do not agree with deleting paragraph 28.19, should the IASB clarify the paragraph by:</w:t>
            </w:r>
          </w:p>
          <w:p w14:paraId="17101121" w14:textId="77777777" w:rsidR="006D729C" w:rsidRDefault="006D729C" w:rsidP="00672FB3">
            <w:pPr>
              <w:pStyle w:val="Boardpaperlevel2"/>
              <w:keepNext/>
              <w:keepLines/>
              <w:numPr>
                <w:ilvl w:val="0"/>
                <w:numId w:val="37"/>
              </w:numPr>
              <w:spacing w:before="120" w:line="276" w:lineRule="auto"/>
              <w:ind w:right="0"/>
              <w:rPr>
                <w:sz w:val="20"/>
                <w:szCs w:val="20"/>
              </w:rPr>
            </w:pPr>
            <w:r w:rsidRPr="001329B7">
              <w:rPr>
                <w:sz w:val="20"/>
                <w:szCs w:val="20"/>
              </w:rPr>
              <w:t xml:space="preserve">stating that an entity may apply any, or all, of the simplifications permitted by paragraph 28.19 when measuring a defined benefit obligation; and </w:t>
            </w:r>
          </w:p>
          <w:p w14:paraId="5E6DD084" w14:textId="77777777" w:rsidR="006D729C" w:rsidRDefault="006D729C" w:rsidP="00672FB3">
            <w:pPr>
              <w:pStyle w:val="Boardpaperlevel2"/>
              <w:keepNext/>
              <w:keepLines/>
              <w:numPr>
                <w:ilvl w:val="0"/>
                <w:numId w:val="37"/>
              </w:numPr>
              <w:spacing w:before="120" w:line="276" w:lineRule="auto"/>
              <w:ind w:right="0"/>
              <w:rPr>
                <w:sz w:val="20"/>
                <w:szCs w:val="20"/>
              </w:rPr>
            </w:pPr>
            <w:r w:rsidRPr="001329B7">
              <w:rPr>
                <w:sz w:val="20"/>
                <w:szCs w:val="20"/>
              </w:rPr>
              <w:t xml:space="preserve">explaining that when an entity applies paragraph 28.19(b), examples of future service of current employees (assumes closure of the plan for existing and any new employees) that can be ignored include: </w:t>
            </w:r>
          </w:p>
          <w:p w14:paraId="6FEC9055" w14:textId="77777777" w:rsidR="005308DF" w:rsidRDefault="006D729C" w:rsidP="00975E3F">
            <w:pPr>
              <w:pStyle w:val="Boardpaperlevel2"/>
              <w:keepNext/>
              <w:keepLines/>
              <w:numPr>
                <w:ilvl w:val="1"/>
                <w:numId w:val="37"/>
              </w:numPr>
              <w:spacing w:before="120" w:line="276" w:lineRule="auto"/>
              <w:ind w:right="0"/>
              <w:jc w:val="both"/>
              <w:rPr>
                <w:sz w:val="20"/>
                <w:szCs w:val="20"/>
              </w:rPr>
            </w:pPr>
            <w:r w:rsidRPr="001329B7">
              <w:rPr>
                <w:sz w:val="20"/>
                <w:szCs w:val="20"/>
              </w:rPr>
              <w:t xml:space="preserve">the probability of employees’ not meeting the vesting conditions when the vesting conditions relate to future service (future turnover rate); and </w:t>
            </w:r>
          </w:p>
          <w:p w14:paraId="33D1EFA0" w14:textId="28340D3C" w:rsidR="006D729C" w:rsidRPr="005308DF" w:rsidRDefault="006D729C" w:rsidP="00975E3F">
            <w:pPr>
              <w:pStyle w:val="Boardpaperlevel2"/>
              <w:keepNext/>
              <w:keepLines/>
              <w:numPr>
                <w:ilvl w:val="1"/>
                <w:numId w:val="37"/>
              </w:numPr>
              <w:spacing w:before="120" w:line="276" w:lineRule="auto"/>
              <w:ind w:right="0"/>
              <w:jc w:val="both"/>
              <w:rPr>
                <w:sz w:val="20"/>
                <w:szCs w:val="20"/>
              </w:rPr>
            </w:pPr>
            <w:r w:rsidRPr="005308DF">
              <w:rPr>
                <w:sz w:val="20"/>
                <w:szCs w:val="20"/>
              </w:rPr>
              <w:t>the effects of a benefit formula that gives employees greater benefits for later years of service.</w:t>
            </w:r>
          </w:p>
        </w:tc>
      </w:tr>
      <w:tr w:rsidR="00DC1AED" w:rsidRPr="009F21A3" w14:paraId="0B965B69" w14:textId="77777777" w:rsidTr="00CC57D5">
        <w:tc>
          <w:tcPr>
            <w:tcW w:w="704" w:type="dxa"/>
            <w:shd w:val="clear" w:color="auto" w:fill="auto"/>
          </w:tcPr>
          <w:p w14:paraId="6CA7E959" w14:textId="5CC44610" w:rsidR="00DC1AED" w:rsidRPr="009F21A3" w:rsidRDefault="00CC57D5" w:rsidP="00672FB3">
            <w:pPr>
              <w:pStyle w:val="ListParagraph"/>
              <w:keepNext/>
              <w:keepLines/>
              <w:spacing w:before="60" w:after="60" w:line="360" w:lineRule="auto"/>
              <w:ind w:left="0"/>
              <w:rPr>
                <w:rFonts w:ascii="Times New Roman" w:hAnsi="Times New Roman" w:cs="Times New Roman"/>
                <w:sz w:val="20"/>
                <w:szCs w:val="20"/>
              </w:rPr>
            </w:pPr>
            <w:r>
              <w:rPr>
                <w:rFonts w:ascii="Times New Roman" w:hAnsi="Times New Roman" w:cs="Times New Roman"/>
                <w:sz w:val="20"/>
                <w:szCs w:val="20"/>
              </w:rPr>
              <w:t>9(ii)</w:t>
            </w:r>
          </w:p>
        </w:tc>
        <w:tc>
          <w:tcPr>
            <w:tcW w:w="7512" w:type="dxa"/>
            <w:shd w:val="clear" w:color="auto" w:fill="auto"/>
          </w:tcPr>
          <w:p w14:paraId="79EA0D2B" w14:textId="087F6F9B" w:rsidR="006D729C" w:rsidRPr="00672FB3" w:rsidRDefault="00DB7571" w:rsidP="00672FB3">
            <w:pPr>
              <w:pStyle w:val="TableParagraph"/>
              <w:keepNext/>
              <w:keepLines/>
              <w:spacing w:before="120" w:after="120" w:line="271" w:lineRule="auto"/>
              <w:ind w:left="0"/>
              <w:rPr>
                <w:rFonts w:ascii="Times New Roman" w:hAnsi="Times New Roman" w:cs="Times New Roman"/>
                <w:b/>
                <w:sz w:val="20"/>
                <w:szCs w:val="20"/>
                <w:lang w:val="en-GB"/>
              </w:rPr>
            </w:pPr>
            <w:r>
              <w:rPr>
                <w:rFonts w:ascii="Times New Roman" w:hAnsi="Times New Roman" w:cs="Times New Roman"/>
                <w:b/>
                <w:bCs/>
                <w:sz w:val="20"/>
                <w:szCs w:val="20"/>
                <w:lang w:val="en-GB"/>
              </w:rPr>
              <w:t>If you disagree with the proposal in 9(i), do you agree that this alternative approach clarifies paragraph 28.19?</w:t>
            </w:r>
          </w:p>
        </w:tc>
        <w:tc>
          <w:tcPr>
            <w:tcW w:w="5813" w:type="dxa"/>
            <w:shd w:val="clear" w:color="auto" w:fill="auto"/>
          </w:tcPr>
          <w:p w14:paraId="23082C40" w14:textId="77777777" w:rsidR="00DC1AED" w:rsidRPr="009F21A3" w:rsidRDefault="00DC1AED" w:rsidP="00672FB3">
            <w:pPr>
              <w:keepNext/>
              <w:keepLines/>
              <w:autoSpaceDE w:val="0"/>
              <w:autoSpaceDN w:val="0"/>
              <w:adjustRightInd w:val="0"/>
              <w:spacing w:before="60" w:after="60" w:line="360" w:lineRule="auto"/>
              <w:rPr>
                <w:rFonts w:ascii="Times New Roman" w:hAnsi="Times New Roman" w:cs="Times New Roman"/>
                <w:b/>
                <w:sz w:val="20"/>
                <w:szCs w:val="20"/>
              </w:rPr>
            </w:pPr>
          </w:p>
        </w:tc>
      </w:tr>
    </w:tbl>
    <w:p w14:paraId="051D6FF3" w14:textId="1A90F064" w:rsidR="00BA3E7A" w:rsidRDefault="00975E3F">
      <w:r>
        <w:br w:type="page"/>
      </w:r>
    </w:p>
    <w:p w14:paraId="4562F250" w14:textId="77777777" w:rsidR="00BA3E7A" w:rsidRDefault="00BA3E7A"/>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BA3E7A" w:rsidRPr="009F21A3" w14:paraId="6A6167C2" w14:textId="77777777" w:rsidTr="005308DF">
        <w:trPr>
          <w:cantSplit/>
        </w:trPr>
        <w:tc>
          <w:tcPr>
            <w:tcW w:w="704" w:type="dxa"/>
            <w:tcBorders>
              <w:bottom w:val="single" w:sz="4" w:space="0" w:color="auto"/>
            </w:tcBorders>
          </w:tcPr>
          <w:p w14:paraId="4296E7FF" w14:textId="36FC1B1C" w:rsidR="00BA3E7A" w:rsidRDefault="00BA3E7A" w:rsidP="00BA3E7A">
            <w:pPr>
              <w:pStyle w:val="ListParagraph"/>
              <w:spacing w:before="120" w:after="60" w:line="360" w:lineRule="auto"/>
              <w:ind w:left="0"/>
              <w:contextualSpacing w:val="0"/>
              <w:rPr>
                <w:rFonts w:ascii="Times New Roman" w:hAnsi="Times New Roman" w:cs="Times New Roman"/>
                <w:sz w:val="20"/>
                <w:szCs w:val="20"/>
              </w:rPr>
            </w:pPr>
            <w:r w:rsidRPr="00C37998">
              <w:rPr>
                <w:rFonts w:ascii="Times New Roman" w:hAnsi="Times New Roman"/>
                <w:b/>
                <w:sz w:val="24"/>
                <w:szCs w:val="24"/>
              </w:rPr>
              <w:t>Ref</w:t>
            </w:r>
          </w:p>
        </w:tc>
        <w:tc>
          <w:tcPr>
            <w:tcW w:w="7512" w:type="dxa"/>
          </w:tcPr>
          <w:p w14:paraId="324EFF86" w14:textId="00A8E428" w:rsidR="00BA3E7A" w:rsidRDefault="00BA3E7A" w:rsidP="00BA3E7A">
            <w:pPr>
              <w:pStyle w:val="TableParagraph"/>
              <w:spacing w:before="120" w:after="120" w:line="276" w:lineRule="auto"/>
              <w:ind w:left="0"/>
              <w:rPr>
                <w:rFonts w:ascii="Times New Roman" w:hAnsi="Times New Roman" w:cs="Times New Roman"/>
                <w:b/>
                <w:bCs/>
                <w:sz w:val="20"/>
                <w:szCs w:val="20"/>
                <w:lang w:val="en-GB"/>
              </w:rPr>
            </w:pPr>
            <w:r w:rsidRPr="00C37998">
              <w:rPr>
                <w:rFonts w:ascii="Times New Roman" w:hAnsi="Times New Roman"/>
                <w:b/>
                <w:sz w:val="24"/>
                <w:szCs w:val="24"/>
              </w:rPr>
              <w:t>Question</w:t>
            </w:r>
          </w:p>
        </w:tc>
        <w:tc>
          <w:tcPr>
            <w:tcW w:w="5813" w:type="dxa"/>
          </w:tcPr>
          <w:p w14:paraId="6A4583FB" w14:textId="77777777" w:rsidR="00BA3E7A" w:rsidRPr="00C37998" w:rsidRDefault="00BA3E7A" w:rsidP="00BA3E7A">
            <w:pPr>
              <w:pStyle w:val="PlainText"/>
              <w:spacing w:before="60" w:after="60"/>
              <w:rPr>
                <w:rFonts w:ascii="Times New Roman" w:hAnsi="Times New Roman"/>
                <w:b/>
                <w:sz w:val="24"/>
                <w:szCs w:val="24"/>
              </w:rPr>
            </w:pPr>
            <w:r w:rsidRPr="00C37998">
              <w:rPr>
                <w:rFonts w:ascii="Times New Roman" w:hAnsi="Times New Roman"/>
                <w:b/>
                <w:sz w:val="24"/>
                <w:szCs w:val="24"/>
              </w:rPr>
              <w:t>Response</w:t>
            </w:r>
          </w:p>
          <w:p w14:paraId="07E52FE5" w14:textId="4AA3947B" w:rsidR="00BA3E7A" w:rsidRPr="00C37998" w:rsidRDefault="00BA3E7A" w:rsidP="00BA3E7A">
            <w:pPr>
              <w:pStyle w:val="PlainText"/>
              <w:rPr>
                <w:rFonts w:ascii="Times New Roman" w:hAnsi="Times New Roman"/>
                <w:bCs/>
                <w:sz w:val="24"/>
                <w:szCs w:val="24"/>
              </w:rPr>
            </w:pPr>
            <w:r w:rsidRPr="00C37998">
              <w:rPr>
                <w:rFonts w:ascii="Times New Roman" w:hAnsi="Times New Roman"/>
                <w:bCs/>
                <w:sz w:val="24"/>
                <w:szCs w:val="24"/>
              </w:rPr>
              <w:t>(</w:t>
            </w:r>
            <w:r w:rsidRPr="00C37998">
              <w:rPr>
                <w:rFonts w:ascii="Times New Roman" w:hAnsi="Times New Roman"/>
                <w:bCs/>
                <w:i/>
                <w:iCs/>
                <w:sz w:val="24"/>
                <w:szCs w:val="24"/>
              </w:rPr>
              <w:t>Please give clear reasoning to support your response</w:t>
            </w:r>
            <w:r w:rsidRPr="00C37998">
              <w:rPr>
                <w:rFonts w:ascii="Times New Roman" w:hAnsi="Times New Roman"/>
                <w:bCs/>
                <w:sz w:val="24"/>
                <w:szCs w:val="24"/>
              </w:rPr>
              <w:t>)</w:t>
            </w:r>
          </w:p>
          <w:p w14:paraId="1BAD8203" w14:textId="77777777" w:rsidR="00BA3E7A" w:rsidRPr="009F21A3" w:rsidRDefault="00BA3E7A" w:rsidP="00BA3E7A">
            <w:pPr>
              <w:autoSpaceDE w:val="0"/>
              <w:autoSpaceDN w:val="0"/>
              <w:adjustRightInd w:val="0"/>
              <w:spacing w:before="60" w:after="60" w:line="360" w:lineRule="auto"/>
              <w:rPr>
                <w:rFonts w:ascii="Times New Roman" w:hAnsi="Times New Roman" w:cs="Times New Roman"/>
                <w:b/>
                <w:sz w:val="20"/>
                <w:szCs w:val="20"/>
              </w:rPr>
            </w:pPr>
          </w:p>
        </w:tc>
      </w:tr>
      <w:tr w:rsidR="00CC57D5" w:rsidRPr="009F21A3" w14:paraId="573BE5CC" w14:textId="77777777" w:rsidTr="005308DF">
        <w:trPr>
          <w:cantSplit/>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D7B8D" w14:textId="5E36CFD7" w:rsidR="00CC57D5" w:rsidRPr="009F21A3" w:rsidRDefault="00CC57D5" w:rsidP="00BA3E7A">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10</w:t>
            </w:r>
          </w:p>
        </w:tc>
        <w:tc>
          <w:tcPr>
            <w:tcW w:w="13325" w:type="dxa"/>
            <w:gridSpan w:val="2"/>
            <w:tcBorders>
              <w:left w:val="single" w:sz="4" w:space="0" w:color="auto"/>
            </w:tcBorders>
            <w:shd w:val="clear" w:color="auto" w:fill="D9D9D9" w:themeFill="background1" w:themeFillShade="D9"/>
          </w:tcPr>
          <w:p w14:paraId="6A58D3EF" w14:textId="77777777" w:rsidR="00CC57D5" w:rsidRPr="00FB43F0" w:rsidRDefault="00CC57D5" w:rsidP="00BA3E7A">
            <w:pPr>
              <w:pStyle w:val="TableParagraph"/>
              <w:spacing w:before="120" w:after="120" w:line="276" w:lineRule="auto"/>
              <w:ind w:left="0"/>
              <w:rPr>
                <w:rFonts w:ascii="Times New Roman" w:hAnsi="Times New Roman" w:cs="Times New Roman"/>
                <w:i/>
                <w:iCs/>
                <w:sz w:val="20"/>
                <w:szCs w:val="20"/>
                <w:lang w:val="en-GB"/>
              </w:rPr>
            </w:pPr>
            <w:r>
              <w:rPr>
                <w:rFonts w:ascii="Times New Roman" w:hAnsi="Times New Roman" w:cs="Times New Roman"/>
                <w:b/>
                <w:bCs/>
                <w:sz w:val="20"/>
                <w:szCs w:val="20"/>
                <w:lang w:val="en-GB"/>
              </w:rPr>
              <w:t>Question 10—Transition</w:t>
            </w:r>
          </w:p>
          <w:p w14:paraId="7A34D0D1" w14:textId="4449CA88" w:rsidR="00CC57D5" w:rsidRPr="009F21A3" w:rsidRDefault="00CC57D5" w:rsidP="00E524B9">
            <w:pPr>
              <w:autoSpaceDE w:val="0"/>
              <w:autoSpaceDN w:val="0"/>
              <w:adjustRightInd w:val="0"/>
              <w:spacing w:before="60" w:after="60"/>
              <w:rPr>
                <w:rFonts w:ascii="Times New Roman" w:hAnsi="Times New Roman" w:cs="Times New Roman"/>
                <w:b/>
                <w:sz w:val="20"/>
                <w:szCs w:val="20"/>
              </w:rPr>
            </w:pPr>
            <w:r w:rsidRPr="009D697A">
              <w:rPr>
                <w:rFonts w:ascii="Times New Roman" w:hAnsi="Times New Roman" w:cs="Times New Roman"/>
                <w:sz w:val="20"/>
                <w:szCs w:val="20"/>
              </w:rPr>
              <w:t>The IASB, in paragraphs A2–A39 of th</w:t>
            </w:r>
            <w:r w:rsidR="00E71E3B">
              <w:rPr>
                <w:rFonts w:ascii="Times New Roman" w:hAnsi="Times New Roman" w:cs="Times New Roman"/>
                <w:sz w:val="20"/>
                <w:szCs w:val="20"/>
              </w:rPr>
              <w:t>e</w:t>
            </w:r>
            <w:r w:rsidRPr="009D697A">
              <w:rPr>
                <w:rFonts w:ascii="Times New Roman" w:hAnsi="Times New Roman" w:cs="Times New Roman"/>
                <w:sz w:val="20"/>
                <w:szCs w:val="20"/>
              </w:rPr>
              <w:t xml:space="preserve"> Exposure Draft, sets out limited relief from retrospective application for those proposed amendments for which the IASB thought the costs of retrospective application would exceed the benefits. </w:t>
            </w:r>
          </w:p>
        </w:tc>
      </w:tr>
      <w:tr w:rsidR="00BA3E7A" w:rsidRPr="009F21A3" w14:paraId="2C4C511F" w14:textId="77777777" w:rsidTr="005308DF">
        <w:trPr>
          <w:cantSplit/>
        </w:trPr>
        <w:tc>
          <w:tcPr>
            <w:tcW w:w="704" w:type="dxa"/>
            <w:tcBorders>
              <w:top w:val="single" w:sz="4" w:space="0" w:color="auto"/>
              <w:bottom w:val="single" w:sz="4" w:space="0" w:color="auto"/>
            </w:tcBorders>
          </w:tcPr>
          <w:p w14:paraId="568803D8" w14:textId="77777777" w:rsidR="00BA3E7A" w:rsidRDefault="00BA3E7A" w:rsidP="00BA3E7A">
            <w:pPr>
              <w:pStyle w:val="ListParagraph"/>
              <w:spacing w:before="120" w:after="60" w:line="360" w:lineRule="auto"/>
              <w:ind w:left="0"/>
              <w:contextualSpacing w:val="0"/>
              <w:rPr>
                <w:rFonts w:ascii="Times New Roman" w:hAnsi="Times New Roman" w:cs="Times New Roman"/>
                <w:sz w:val="20"/>
                <w:szCs w:val="20"/>
              </w:rPr>
            </w:pPr>
          </w:p>
        </w:tc>
        <w:tc>
          <w:tcPr>
            <w:tcW w:w="7512" w:type="dxa"/>
            <w:shd w:val="clear" w:color="auto" w:fill="auto"/>
          </w:tcPr>
          <w:p w14:paraId="3B084F29" w14:textId="648D48D5" w:rsidR="00BA3E7A" w:rsidRPr="009D697A" w:rsidRDefault="00BA3E7A" w:rsidP="00BA3E7A">
            <w:pPr>
              <w:pStyle w:val="TableParagraph"/>
              <w:spacing w:before="120" w:after="120" w:line="276" w:lineRule="auto"/>
              <w:ind w:left="0"/>
              <w:rPr>
                <w:rFonts w:ascii="Times New Roman" w:hAnsi="Times New Roman" w:cs="Times New Roman"/>
                <w:b/>
                <w:bCs/>
                <w:sz w:val="20"/>
                <w:szCs w:val="20"/>
                <w:lang w:val="en-GB"/>
              </w:rPr>
            </w:pPr>
            <w:r w:rsidRPr="009D697A">
              <w:rPr>
                <w:rFonts w:ascii="Times New Roman" w:hAnsi="Times New Roman" w:cs="Times New Roman"/>
                <w:b/>
                <w:bCs/>
                <w:sz w:val="20"/>
                <w:szCs w:val="20"/>
              </w:rPr>
              <w:t xml:space="preserve">Do you agree with the proposed transition requirements for the amendments to the </w:t>
            </w:r>
            <w:r w:rsidRPr="003D1EA6">
              <w:rPr>
                <w:rFonts w:ascii="Times New Roman" w:hAnsi="Times New Roman" w:cs="Times New Roman"/>
                <w:b/>
                <w:bCs/>
                <w:i/>
                <w:iCs/>
                <w:sz w:val="20"/>
                <w:szCs w:val="20"/>
              </w:rPr>
              <w:t>IFRS for SMEs</w:t>
            </w:r>
            <w:r w:rsidRPr="009D697A">
              <w:rPr>
                <w:rFonts w:ascii="Times New Roman" w:hAnsi="Times New Roman" w:cs="Times New Roman"/>
                <w:b/>
                <w:bCs/>
                <w:sz w:val="20"/>
                <w:szCs w:val="20"/>
              </w:rPr>
              <w:t xml:space="preserve"> Accounting Standard? Why or why not? If not, please explain what you suggest instead and why.</w:t>
            </w:r>
          </w:p>
        </w:tc>
        <w:tc>
          <w:tcPr>
            <w:tcW w:w="5813" w:type="dxa"/>
            <w:shd w:val="clear" w:color="auto" w:fill="auto"/>
          </w:tcPr>
          <w:p w14:paraId="48D19BA1" w14:textId="77777777" w:rsidR="00BA3E7A" w:rsidRPr="009F21A3" w:rsidRDefault="00BA3E7A" w:rsidP="00BA3E7A">
            <w:pPr>
              <w:autoSpaceDE w:val="0"/>
              <w:autoSpaceDN w:val="0"/>
              <w:adjustRightInd w:val="0"/>
              <w:spacing w:before="60" w:after="60" w:line="360" w:lineRule="auto"/>
              <w:rPr>
                <w:rFonts w:ascii="Times New Roman" w:hAnsi="Times New Roman" w:cs="Times New Roman"/>
                <w:b/>
                <w:sz w:val="20"/>
                <w:szCs w:val="20"/>
              </w:rPr>
            </w:pPr>
          </w:p>
        </w:tc>
      </w:tr>
      <w:tr w:rsidR="00DE56DD" w:rsidRPr="009F21A3" w14:paraId="1C374B9E" w14:textId="77777777" w:rsidTr="005308DF">
        <w:trPr>
          <w:cantSplit/>
          <w:trHeight w:val="942"/>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BB753" w14:textId="5D54EC0D" w:rsidR="00DE56DD" w:rsidRPr="009F21A3" w:rsidRDefault="00DE56DD" w:rsidP="00BA3E7A">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11</w:t>
            </w:r>
          </w:p>
        </w:tc>
        <w:tc>
          <w:tcPr>
            <w:tcW w:w="13325" w:type="dxa"/>
            <w:gridSpan w:val="2"/>
            <w:tcBorders>
              <w:left w:val="single" w:sz="4" w:space="0" w:color="auto"/>
            </w:tcBorders>
            <w:shd w:val="clear" w:color="auto" w:fill="D9D9D9" w:themeFill="background1" w:themeFillShade="D9"/>
          </w:tcPr>
          <w:p w14:paraId="33269C88" w14:textId="77777777" w:rsidR="00DE56DD" w:rsidRDefault="00DE56DD" w:rsidP="00BA3E7A">
            <w:pPr>
              <w:spacing w:before="120" w:after="120"/>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Question 11—Other proposed amendments</w:t>
            </w:r>
          </w:p>
          <w:p w14:paraId="303C8140" w14:textId="436F2A7A" w:rsidR="00DE56DD" w:rsidRPr="009F21A3" w:rsidRDefault="00DE56DD" w:rsidP="00BA3E7A">
            <w:pPr>
              <w:autoSpaceDE w:val="0"/>
              <w:autoSpaceDN w:val="0"/>
              <w:adjustRightInd w:val="0"/>
              <w:spacing w:before="60" w:after="60" w:line="360" w:lineRule="auto"/>
              <w:rPr>
                <w:rFonts w:ascii="Times New Roman" w:hAnsi="Times New Roman" w:cs="Times New Roman"/>
                <w:b/>
                <w:sz w:val="20"/>
                <w:szCs w:val="20"/>
              </w:rPr>
            </w:pPr>
            <w:r w:rsidRPr="007976F5">
              <w:rPr>
                <w:rFonts w:ascii="Times New Roman" w:hAnsi="Times New Roman" w:cs="Times New Roman"/>
                <w:sz w:val="20"/>
                <w:szCs w:val="20"/>
              </w:rPr>
              <w:t>Table A1, included in the Introduction</w:t>
            </w:r>
            <w:r w:rsidR="000D7BA1">
              <w:rPr>
                <w:rFonts w:ascii="Times New Roman" w:hAnsi="Times New Roman" w:cs="Times New Roman"/>
                <w:sz w:val="20"/>
                <w:szCs w:val="20"/>
              </w:rPr>
              <w:t xml:space="preserve"> to the Exposure Draft</w:t>
            </w:r>
            <w:r w:rsidRPr="007976F5">
              <w:rPr>
                <w:rFonts w:ascii="Times New Roman" w:hAnsi="Times New Roman" w:cs="Times New Roman"/>
                <w:sz w:val="20"/>
                <w:szCs w:val="20"/>
              </w:rPr>
              <w:t xml:space="preserve">, summarises the proposals for amending sections of the Standard not included in questions 2–10. </w:t>
            </w:r>
          </w:p>
        </w:tc>
      </w:tr>
      <w:tr w:rsidR="00BA3E7A" w:rsidRPr="009F21A3" w14:paraId="675F50FB" w14:textId="77777777" w:rsidTr="005308DF">
        <w:trPr>
          <w:trHeight w:val="470"/>
        </w:trPr>
        <w:tc>
          <w:tcPr>
            <w:tcW w:w="704" w:type="dxa"/>
            <w:tcBorders>
              <w:top w:val="single" w:sz="4" w:space="0" w:color="auto"/>
            </w:tcBorders>
          </w:tcPr>
          <w:p w14:paraId="60AA6443" w14:textId="77777777" w:rsidR="00BA3E7A" w:rsidRDefault="00BA3E7A" w:rsidP="00BA3E7A">
            <w:pPr>
              <w:pStyle w:val="ListParagraph"/>
              <w:spacing w:before="120" w:after="60" w:line="360" w:lineRule="auto"/>
              <w:ind w:left="0"/>
              <w:contextualSpacing w:val="0"/>
              <w:rPr>
                <w:rFonts w:ascii="Times New Roman" w:hAnsi="Times New Roman" w:cs="Times New Roman"/>
                <w:sz w:val="20"/>
                <w:szCs w:val="20"/>
              </w:rPr>
            </w:pPr>
          </w:p>
        </w:tc>
        <w:tc>
          <w:tcPr>
            <w:tcW w:w="7512" w:type="dxa"/>
            <w:shd w:val="clear" w:color="auto" w:fill="auto"/>
          </w:tcPr>
          <w:p w14:paraId="03D545E5" w14:textId="1D064101" w:rsidR="00BA3E7A" w:rsidRPr="007976F5" w:rsidRDefault="00BA3E7A" w:rsidP="00BA3E7A">
            <w:pPr>
              <w:spacing w:before="120" w:after="120"/>
              <w:rPr>
                <w:rFonts w:ascii="Times New Roman" w:eastAsia="Times New Roman" w:hAnsi="Times New Roman" w:cs="Times New Roman"/>
                <w:b/>
                <w:bCs/>
                <w:sz w:val="20"/>
                <w:szCs w:val="20"/>
                <w:lang w:eastAsia="en-GB"/>
              </w:rPr>
            </w:pPr>
            <w:r w:rsidRPr="007976F5">
              <w:rPr>
                <w:rFonts w:ascii="Times New Roman" w:hAnsi="Times New Roman" w:cs="Times New Roman"/>
                <w:b/>
                <w:bCs/>
                <w:sz w:val="20"/>
                <w:szCs w:val="20"/>
              </w:rPr>
              <w:t>Do you have any comments on these other proposed amendments in the Exposure Draft?</w:t>
            </w:r>
          </w:p>
        </w:tc>
        <w:tc>
          <w:tcPr>
            <w:tcW w:w="5813" w:type="dxa"/>
            <w:shd w:val="clear" w:color="auto" w:fill="auto"/>
          </w:tcPr>
          <w:p w14:paraId="27E716B8" w14:textId="77777777" w:rsidR="00BA3E7A" w:rsidRPr="009F21A3" w:rsidRDefault="00BA3E7A" w:rsidP="00BA3E7A">
            <w:pPr>
              <w:autoSpaceDE w:val="0"/>
              <w:autoSpaceDN w:val="0"/>
              <w:adjustRightInd w:val="0"/>
              <w:spacing w:before="60" w:after="60" w:line="360" w:lineRule="auto"/>
              <w:rPr>
                <w:rFonts w:ascii="Times New Roman" w:hAnsi="Times New Roman" w:cs="Times New Roman"/>
                <w:b/>
                <w:sz w:val="20"/>
                <w:szCs w:val="20"/>
              </w:rPr>
            </w:pPr>
          </w:p>
        </w:tc>
      </w:tr>
    </w:tbl>
    <w:p w14:paraId="0D37EB63" w14:textId="77777777" w:rsidR="0047436A" w:rsidRDefault="0047436A" w:rsidP="00EB4BED"/>
    <w:p w14:paraId="0605F096" w14:textId="5CB7AB6A" w:rsidR="0047436A" w:rsidRDefault="0047436A" w:rsidP="00EB4BED">
      <w:r>
        <w:br w:type="page"/>
      </w:r>
    </w:p>
    <w:p w14:paraId="08847636" w14:textId="77777777" w:rsidR="008D7447" w:rsidRDefault="008D7447" w:rsidP="00EB4BED"/>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3A1590" w:rsidRPr="006C02E0" w14:paraId="1DEB74E1" w14:textId="77777777" w:rsidTr="00C37998">
        <w:trPr>
          <w:tblHeader/>
        </w:trPr>
        <w:tc>
          <w:tcPr>
            <w:tcW w:w="704" w:type="dxa"/>
          </w:tcPr>
          <w:p w14:paraId="2C93976F" w14:textId="77777777" w:rsidR="003A1590" w:rsidRPr="00C37998" w:rsidRDefault="003A1590" w:rsidP="00235B38">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Ref </w:t>
            </w:r>
          </w:p>
        </w:tc>
        <w:tc>
          <w:tcPr>
            <w:tcW w:w="7512" w:type="dxa"/>
          </w:tcPr>
          <w:p w14:paraId="35253B97" w14:textId="77777777" w:rsidR="003A1590" w:rsidRPr="00C37998" w:rsidRDefault="003A1590" w:rsidP="00235B38">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Question </w:t>
            </w:r>
          </w:p>
        </w:tc>
        <w:tc>
          <w:tcPr>
            <w:tcW w:w="5813" w:type="dxa"/>
          </w:tcPr>
          <w:p w14:paraId="706BE785" w14:textId="72AF3323" w:rsidR="003A1590" w:rsidRPr="00C37998" w:rsidRDefault="003A1590" w:rsidP="00C37998">
            <w:pPr>
              <w:pStyle w:val="PlainText"/>
              <w:rPr>
                <w:rFonts w:ascii="Times New Roman" w:hAnsi="Times New Roman"/>
                <w:b/>
                <w:sz w:val="24"/>
                <w:szCs w:val="24"/>
              </w:rPr>
            </w:pPr>
            <w:r w:rsidRPr="00C37998">
              <w:rPr>
                <w:rFonts w:ascii="Times New Roman" w:hAnsi="Times New Roman"/>
                <w:b/>
                <w:sz w:val="24"/>
                <w:szCs w:val="24"/>
              </w:rPr>
              <w:t>Res</w:t>
            </w:r>
            <w:r w:rsidR="001E3150" w:rsidRPr="00C37998">
              <w:rPr>
                <w:rFonts w:ascii="Times New Roman" w:hAnsi="Times New Roman"/>
                <w:b/>
                <w:sz w:val="24"/>
                <w:szCs w:val="24"/>
              </w:rPr>
              <w:t xml:space="preserve">ponse </w:t>
            </w:r>
          </w:p>
          <w:p w14:paraId="42C49C97" w14:textId="77777777" w:rsidR="003A1590" w:rsidRPr="00C37998" w:rsidRDefault="003A1590" w:rsidP="003C6FCF">
            <w:pPr>
              <w:pStyle w:val="ListParagraph"/>
              <w:snapToGrid w:val="0"/>
              <w:spacing w:after="0" w:line="240" w:lineRule="auto"/>
              <w:ind w:left="0"/>
              <w:contextualSpacing w:val="0"/>
              <w:rPr>
                <w:rFonts w:ascii="Times New Roman" w:hAnsi="Times New Roman" w:cs="Times New Roman"/>
                <w:i/>
                <w:iCs/>
                <w:sz w:val="24"/>
                <w:szCs w:val="24"/>
              </w:rPr>
            </w:pPr>
            <w:r w:rsidRPr="00C37998">
              <w:rPr>
                <w:rFonts w:ascii="Times New Roman" w:hAnsi="Times New Roman" w:cs="Times New Roman"/>
                <w:i/>
                <w:iCs/>
                <w:sz w:val="24"/>
                <w:szCs w:val="24"/>
              </w:rPr>
              <w:t>(Please give clear reasoning to support your response)</w:t>
            </w:r>
          </w:p>
          <w:p w14:paraId="769DC715" w14:textId="75E3E492" w:rsidR="003C6FCF" w:rsidRPr="00C37998" w:rsidRDefault="003C6FCF" w:rsidP="00C37998">
            <w:pPr>
              <w:pStyle w:val="ListParagraph"/>
              <w:snapToGrid w:val="0"/>
              <w:spacing w:after="0" w:line="240" w:lineRule="auto"/>
              <w:ind w:left="0"/>
              <w:contextualSpacing w:val="0"/>
              <w:rPr>
                <w:rFonts w:ascii="Times New Roman" w:hAnsi="Times New Roman" w:cs="Times New Roman"/>
                <w:b/>
                <w:sz w:val="24"/>
                <w:szCs w:val="24"/>
              </w:rPr>
            </w:pPr>
          </w:p>
        </w:tc>
      </w:tr>
      <w:tr w:rsidR="003C6FCF" w:rsidRPr="006C02E0" w14:paraId="2A63DEF5" w14:textId="77777777" w:rsidTr="00C37998">
        <w:tc>
          <w:tcPr>
            <w:tcW w:w="14029" w:type="dxa"/>
            <w:gridSpan w:val="3"/>
            <w:shd w:val="clear" w:color="auto" w:fill="000000" w:themeFill="text1"/>
          </w:tcPr>
          <w:p w14:paraId="5E63814A" w14:textId="7BF07F57" w:rsidR="003C6FCF" w:rsidRPr="0091025A" w:rsidRDefault="0091025A" w:rsidP="00C37998">
            <w:pPr>
              <w:autoSpaceDE w:val="0"/>
              <w:autoSpaceDN w:val="0"/>
              <w:adjustRightInd w:val="0"/>
              <w:spacing w:before="120" w:after="120"/>
              <w:rPr>
                <w:rFonts w:ascii="Times New Roman" w:eastAsia="Bookman Old Style" w:hAnsi="Times New Roman"/>
                <w:color w:val="FFFFFF" w:themeColor="background1"/>
                <w:sz w:val="20"/>
                <w:szCs w:val="20"/>
              </w:rPr>
            </w:pPr>
            <w:r>
              <w:rPr>
                <w:rFonts w:ascii="Times New Roman" w:eastAsia="Bookman Old Style" w:hAnsi="Times New Roman" w:cs="Times New Roman"/>
                <w:color w:val="FFFFFF" w:themeColor="background1"/>
                <w:sz w:val="20"/>
                <w:szCs w:val="20"/>
              </w:rPr>
              <w:t>Questions for respondents—Whether further action is required</w:t>
            </w:r>
          </w:p>
        </w:tc>
      </w:tr>
      <w:tr w:rsidR="006D729C" w:rsidRPr="006C02E0" w14:paraId="2A8237AA" w14:textId="77777777" w:rsidTr="006D729C">
        <w:tc>
          <w:tcPr>
            <w:tcW w:w="704" w:type="dxa"/>
            <w:shd w:val="clear" w:color="auto" w:fill="D9D9D9" w:themeFill="background1" w:themeFillShade="D9"/>
          </w:tcPr>
          <w:p w14:paraId="6CEFA624" w14:textId="119D8A6F" w:rsidR="006D729C" w:rsidRPr="006C02E0" w:rsidRDefault="006D729C" w:rsidP="00C37998">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12</w:t>
            </w:r>
          </w:p>
        </w:tc>
        <w:tc>
          <w:tcPr>
            <w:tcW w:w="13325" w:type="dxa"/>
            <w:gridSpan w:val="2"/>
            <w:shd w:val="clear" w:color="auto" w:fill="D9D9D9" w:themeFill="background1" w:themeFillShade="D9"/>
          </w:tcPr>
          <w:p w14:paraId="690A8471" w14:textId="77777777" w:rsidR="006D729C" w:rsidRPr="007D57BD" w:rsidRDefault="006D729C" w:rsidP="005F4E9F">
            <w:pPr>
              <w:spacing w:before="120" w:after="120"/>
              <w:rPr>
                <w:rFonts w:ascii="Times New Roman" w:eastAsia="Times New Roman" w:hAnsi="Times New Roman" w:cs="Times New Roman"/>
                <w:b/>
                <w:bCs/>
                <w:i/>
                <w:iCs/>
                <w:sz w:val="20"/>
                <w:szCs w:val="20"/>
                <w:lang w:eastAsia="en-GB"/>
              </w:rPr>
            </w:pPr>
            <w:r>
              <w:rPr>
                <w:rFonts w:ascii="Times New Roman" w:eastAsia="Times New Roman" w:hAnsi="Times New Roman" w:cs="Times New Roman"/>
                <w:b/>
                <w:bCs/>
                <w:sz w:val="20"/>
                <w:szCs w:val="20"/>
                <w:lang w:eastAsia="en-GB"/>
              </w:rPr>
              <w:t xml:space="preserve">Question 12—Section 20 </w:t>
            </w:r>
            <w:r>
              <w:rPr>
                <w:rFonts w:ascii="Times New Roman" w:eastAsia="Times New Roman" w:hAnsi="Times New Roman" w:cs="Times New Roman"/>
                <w:b/>
                <w:bCs/>
                <w:i/>
                <w:iCs/>
                <w:sz w:val="20"/>
                <w:szCs w:val="20"/>
                <w:lang w:eastAsia="en-GB"/>
              </w:rPr>
              <w:t xml:space="preserve">Leases </w:t>
            </w:r>
            <w:r>
              <w:rPr>
                <w:rFonts w:ascii="Times New Roman" w:eastAsia="Times New Roman" w:hAnsi="Times New Roman" w:cs="Times New Roman"/>
                <w:b/>
                <w:bCs/>
                <w:sz w:val="20"/>
                <w:szCs w:val="20"/>
                <w:lang w:eastAsia="en-GB"/>
              </w:rPr>
              <w:t xml:space="preserve">and IFRS 16 </w:t>
            </w:r>
            <w:r>
              <w:rPr>
                <w:rFonts w:ascii="Times New Roman" w:eastAsia="Times New Roman" w:hAnsi="Times New Roman" w:cs="Times New Roman"/>
                <w:b/>
                <w:bCs/>
                <w:i/>
                <w:iCs/>
                <w:sz w:val="20"/>
                <w:szCs w:val="20"/>
                <w:lang w:eastAsia="en-GB"/>
              </w:rPr>
              <w:t>Leases</w:t>
            </w:r>
          </w:p>
          <w:p w14:paraId="5387C3C8" w14:textId="77777777" w:rsidR="006D729C" w:rsidRDefault="006D729C" w:rsidP="00C37998">
            <w:pPr>
              <w:pStyle w:val="TableParagraph"/>
              <w:spacing w:before="120" w:after="120" w:line="276" w:lineRule="auto"/>
              <w:ind w:left="0" w:right="142"/>
              <w:rPr>
                <w:rFonts w:ascii="Times New Roman" w:hAnsi="Times New Roman" w:cs="Times New Roman"/>
                <w:sz w:val="20"/>
                <w:szCs w:val="20"/>
              </w:rPr>
            </w:pPr>
            <w:r w:rsidRPr="007E3D86">
              <w:rPr>
                <w:rFonts w:ascii="Times New Roman" w:hAnsi="Times New Roman" w:cs="Times New Roman"/>
                <w:sz w:val="20"/>
                <w:szCs w:val="20"/>
              </w:rPr>
              <w:t xml:space="preserve">The IASB in its Request for Information asked for views on aligning Section 20 </w:t>
            </w:r>
            <w:r w:rsidRPr="003E2D22">
              <w:rPr>
                <w:rFonts w:ascii="Times New Roman" w:hAnsi="Times New Roman" w:cs="Times New Roman"/>
                <w:i/>
                <w:iCs/>
                <w:sz w:val="20"/>
                <w:szCs w:val="20"/>
              </w:rPr>
              <w:t>Leases</w:t>
            </w:r>
            <w:r w:rsidRPr="007E3D86">
              <w:rPr>
                <w:rFonts w:ascii="Times New Roman" w:hAnsi="Times New Roman" w:cs="Times New Roman"/>
                <w:sz w:val="20"/>
                <w:szCs w:val="20"/>
              </w:rPr>
              <w:t xml:space="preserve"> with IFRS 16 </w:t>
            </w:r>
            <w:r w:rsidRPr="003E2D22">
              <w:rPr>
                <w:rFonts w:ascii="Times New Roman" w:hAnsi="Times New Roman" w:cs="Times New Roman"/>
                <w:i/>
                <w:iCs/>
                <w:sz w:val="20"/>
                <w:szCs w:val="20"/>
              </w:rPr>
              <w:t>Leases</w:t>
            </w:r>
            <w:r w:rsidRPr="007E3D86">
              <w:rPr>
                <w:rFonts w:ascii="Times New Roman" w:hAnsi="Times New Roman" w:cs="Times New Roman"/>
                <w:sz w:val="20"/>
                <w:szCs w:val="20"/>
              </w:rPr>
              <w:t xml:space="preserve"> by simplifying some of the recognition and measurement requirements, the disclosure requirements and the language of IFRS 16. </w:t>
            </w:r>
          </w:p>
          <w:p w14:paraId="1A6EBC9B" w14:textId="77777777" w:rsidR="006D729C" w:rsidRDefault="006D729C" w:rsidP="00C37998">
            <w:pPr>
              <w:pStyle w:val="TableParagraph"/>
              <w:spacing w:before="120" w:after="120" w:line="276" w:lineRule="auto"/>
              <w:ind w:left="0" w:right="142"/>
              <w:rPr>
                <w:rFonts w:ascii="Times New Roman" w:hAnsi="Times New Roman" w:cs="Times New Roman"/>
                <w:sz w:val="20"/>
                <w:szCs w:val="20"/>
              </w:rPr>
            </w:pPr>
            <w:r w:rsidRPr="007E3D86">
              <w:rPr>
                <w:rFonts w:ascii="Times New Roman" w:hAnsi="Times New Roman" w:cs="Times New Roman"/>
                <w:sz w:val="20"/>
                <w:szCs w:val="20"/>
              </w:rPr>
              <w:t xml:space="preserve">Feedback on the Request for Information was mixed. Stakeholders suggested the IASB assess the costs and benefits of aligning the Standard with IFRS 16, even with the simplifications, and obtain more information about the experience of entities that apply IFRS 16. </w:t>
            </w:r>
          </w:p>
          <w:p w14:paraId="25463DD5" w14:textId="77777777" w:rsidR="006D729C" w:rsidRDefault="006D729C" w:rsidP="00C37998">
            <w:pPr>
              <w:pStyle w:val="TableParagraph"/>
              <w:spacing w:before="120" w:after="120" w:line="276" w:lineRule="auto"/>
              <w:ind w:left="0" w:right="142"/>
              <w:rPr>
                <w:rFonts w:ascii="Times New Roman" w:hAnsi="Times New Roman" w:cs="Times New Roman"/>
                <w:sz w:val="20"/>
                <w:szCs w:val="20"/>
              </w:rPr>
            </w:pPr>
            <w:r w:rsidRPr="007E3D86">
              <w:rPr>
                <w:rFonts w:ascii="Times New Roman" w:hAnsi="Times New Roman" w:cs="Times New Roman"/>
                <w:sz w:val="20"/>
                <w:szCs w:val="20"/>
              </w:rPr>
              <w:t xml:space="preserve">The IASB decided not to propose amendments to Section 20 at this time and to consider amending the Standard to align it with IFRS 16 during a future review of the Standard. Therefore, the Exposure Draft does not propose amendments to Section 20. In making this decision the IASB placed greater emphasis on cost–benefit considerations and prioritised timing—that is, to obtain more information on entities’ experience of applying IFRS 16. </w:t>
            </w:r>
          </w:p>
          <w:p w14:paraId="12BEDEB6" w14:textId="77777777" w:rsidR="006D729C" w:rsidRDefault="006D729C" w:rsidP="00C37998">
            <w:pPr>
              <w:pStyle w:val="TableParagraph"/>
              <w:spacing w:before="120" w:after="120" w:line="276" w:lineRule="auto"/>
              <w:ind w:left="0" w:right="142"/>
              <w:rPr>
                <w:rFonts w:ascii="Times New Roman" w:hAnsi="Times New Roman" w:cs="Times New Roman"/>
                <w:sz w:val="20"/>
                <w:szCs w:val="20"/>
              </w:rPr>
            </w:pPr>
            <w:r w:rsidRPr="007E3D86">
              <w:rPr>
                <w:rFonts w:ascii="Times New Roman" w:hAnsi="Times New Roman" w:cs="Times New Roman"/>
                <w:sz w:val="20"/>
                <w:szCs w:val="20"/>
              </w:rPr>
              <w:t xml:space="preserve">The IASB is asking for further information on cost–benefit considerations, particularly on whether: </w:t>
            </w:r>
          </w:p>
          <w:p w14:paraId="3F72A6C9" w14:textId="77777777" w:rsidR="006D729C" w:rsidRDefault="006D729C" w:rsidP="003A5CCF">
            <w:pPr>
              <w:pStyle w:val="Boardpaperlevel2"/>
              <w:numPr>
                <w:ilvl w:val="0"/>
                <w:numId w:val="39"/>
              </w:numPr>
              <w:spacing w:before="120" w:line="276" w:lineRule="auto"/>
              <w:ind w:right="0"/>
              <w:rPr>
                <w:sz w:val="20"/>
                <w:szCs w:val="20"/>
              </w:rPr>
            </w:pPr>
            <w:r w:rsidRPr="007E3D86">
              <w:rPr>
                <w:sz w:val="20"/>
                <w:szCs w:val="20"/>
              </w:rPr>
              <w:t xml:space="preserve">aligning Section 20 with IFRS 16 at this time imposes a workload on SMEs disproportionate to the benefit to users of their financial statements— specifically, considering: </w:t>
            </w:r>
          </w:p>
          <w:p w14:paraId="2C754F7A" w14:textId="77777777" w:rsidR="006D729C" w:rsidRDefault="006D729C" w:rsidP="00975E3F">
            <w:pPr>
              <w:pStyle w:val="Boardpaperlevel2"/>
              <w:numPr>
                <w:ilvl w:val="0"/>
                <w:numId w:val="42"/>
              </w:numPr>
              <w:spacing w:before="120" w:line="276" w:lineRule="auto"/>
              <w:ind w:left="1307" w:right="0" w:hanging="567"/>
              <w:rPr>
                <w:sz w:val="20"/>
                <w:szCs w:val="20"/>
              </w:rPr>
            </w:pPr>
            <w:r w:rsidRPr="007E3D86">
              <w:rPr>
                <w:sz w:val="20"/>
                <w:szCs w:val="20"/>
              </w:rPr>
              <w:t xml:space="preserve">the implementation costs that preparers of financial statements could incur; </w:t>
            </w:r>
          </w:p>
          <w:p w14:paraId="2B76C8B9" w14:textId="77777777" w:rsidR="006D729C" w:rsidRDefault="006D729C" w:rsidP="00975E3F">
            <w:pPr>
              <w:pStyle w:val="Boardpaperlevel2"/>
              <w:numPr>
                <w:ilvl w:val="0"/>
                <w:numId w:val="42"/>
              </w:numPr>
              <w:spacing w:before="120" w:line="276" w:lineRule="auto"/>
              <w:ind w:left="1307" w:right="0" w:hanging="567"/>
              <w:rPr>
                <w:sz w:val="20"/>
                <w:szCs w:val="20"/>
              </w:rPr>
            </w:pPr>
            <w:r>
              <w:rPr>
                <w:sz w:val="20"/>
                <w:szCs w:val="20"/>
              </w:rPr>
              <w:t xml:space="preserve">the costs that users of financial statements could incur when information is unavailable; and </w:t>
            </w:r>
          </w:p>
          <w:p w14:paraId="06FF2D0A" w14:textId="77777777" w:rsidR="006D729C" w:rsidRDefault="006D729C" w:rsidP="00975E3F">
            <w:pPr>
              <w:pStyle w:val="Boardpaperlevel2"/>
              <w:numPr>
                <w:ilvl w:val="0"/>
                <w:numId w:val="42"/>
              </w:numPr>
              <w:spacing w:before="120" w:line="276" w:lineRule="auto"/>
              <w:ind w:left="1307" w:right="0" w:hanging="567"/>
              <w:rPr>
                <w:sz w:val="20"/>
                <w:szCs w:val="20"/>
              </w:rPr>
            </w:pPr>
            <w:r>
              <w:rPr>
                <w:sz w:val="20"/>
                <w:szCs w:val="20"/>
              </w:rPr>
              <w:t>the</w:t>
            </w:r>
            <w:r w:rsidRPr="007E3D86">
              <w:rPr>
                <w:sz w:val="20"/>
                <w:szCs w:val="20"/>
              </w:rPr>
              <w:t xml:space="preserve"> improvement to financial reporting that would be realised from recognising the lessee’s right to use an underlying asset (and the lessee’s obligation to make lease payments) in the statement of financial position.</w:t>
            </w:r>
          </w:p>
          <w:p w14:paraId="066F8538" w14:textId="7D35672E" w:rsidR="006D729C" w:rsidRDefault="006D729C" w:rsidP="003A5CCF">
            <w:pPr>
              <w:pStyle w:val="TableParagraph"/>
              <w:numPr>
                <w:ilvl w:val="0"/>
                <w:numId w:val="39"/>
              </w:numPr>
              <w:spacing w:before="120" w:after="120" w:line="276" w:lineRule="auto"/>
              <w:ind w:right="142"/>
              <w:rPr>
                <w:rFonts w:ascii="Times New Roman" w:hAnsi="Times New Roman" w:cs="Times New Roman"/>
                <w:sz w:val="20"/>
                <w:szCs w:val="20"/>
              </w:rPr>
            </w:pPr>
            <w:r w:rsidRPr="007E3D86">
              <w:rPr>
                <w:rFonts w:ascii="Times New Roman" w:hAnsi="Times New Roman" w:cs="Times New Roman"/>
                <w:sz w:val="20"/>
                <w:szCs w:val="20"/>
              </w:rPr>
              <w:t xml:space="preserve">introducing possible simplifications—for example, for determining the discount rate and the subsequent measurement of the lease liability (reassessment)—could help to simplify the requirements and reduce the cost of implementing an amended Section 20 (aligned with IFRS 16) without reducing the usefulness of the reported information. </w:t>
            </w:r>
          </w:p>
          <w:p w14:paraId="7CF3A808" w14:textId="3089A7C1" w:rsidR="006D729C" w:rsidRPr="006C02E0" w:rsidRDefault="006D729C" w:rsidP="00AE74C7">
            <w:pPr>
              <w:pStyle w:val="ListParagraph"/>
              <w:snapToGrid w:val="0"/>
              <w:spacing w:before="60" w:after="60"/>
              <w:ind w:left="0"/>
              <w:contextualSpacing w:val="0"/>
              <w:rPr>
                <w:rFonts w:ascii="Times New Roman" w:hAnsi="Times New Roman" w:cs="Times New Roman"/>
                <w:b/>
                <w:sz w:val="20"/>
                <w:szCs w:val="20"/>
              </w:rPr>
            </w:pPr>
            <w:r w:rsidRPr="007E3D86">
              <w:rPr>
                <w:rFonts w:ascii="Times New Roman" w:hAnsi="Times New Roman" w:cs="Times New Roman"/>
                <w:sz w:val="20"/>
                <w:szCs w:val="20"/>
              </w:rPr>
              <w:t>Paragraphs BC230–BC246 of the Basis for Conclusions on th</w:t>
            </w:r>
            <w:r w:rsidR="00E71E3B">
              <w:rPr>
                <w:rFonts w:ascii="Times New Roman" w:hAnsi="Times New Roman" w:cs="Times New Roman"/>
                <w:sz w:val="20"/>
                <w:szCs w:val="20"/>
              </w:rPr>
              <w:t>e</w:t>
            </w:r>
            <w:r w:rsidRPr="007E3D86">
              <w:rPr>
                <w:rFonts w:ascii="Times New Roman" w:hAnsi="Times New Roman" w:cs="Times New Roman"/>
                <w:sz w:val="20"/>
                <w:szCs w:val="20"/>
              </w:rPr>
              <w:t xml:space="preserve"> Exposure Draft further explain the IASB’s rationale for not proposing amendments to Section 20 at this time and instead for considering amending the Standard to align it with IFRS 16 during a future review of the Standard.  </w:t>
            </w:r>
          </w:p>
        </w:tc>
      </w:tr>
      <w:tr w:rsidR="00E3391E" w:rsidRPr="006C02E0" w14:paraId="27DFE4E7" w14:textId="77777777" w:rsidTr="006D729C">
        <w:tc>
          <w:tcPr>
            <w:tcW w:w="704" w:type="dxa"/>
            <w:shd w:val="clear" w:color="auto" w:fill="auto"/>
          </w:tcPr>
          <w:p w14:paraId="39A3E8EB" w14:textId="77777777" w:rsidR="00E3391E" w:rsidRPr="006C02E0" w:rsidRDefault="00E3391E" w:rsidP="006C02E0">
            <w:pPr>
              <w:pStyle w:val="ListParagraph"/>
              <w:spacing w:before="60" w:after="60" w:line="360" w:lineRule="auto"/>
              <w:ind w:left="0"/>
              <w:rPr>
                <w:rFonts w:ascii="Times New Roman" w:hAnsi="Times New Roman" w:cs="Times New Roman"/>
                <w:sz w:val="20"/>
                <w:szCs w:val="20"/>
              </w:rPr>
            </w:pPr>
          </w:p>
        </w:tc>
        <w:tc>
          <w:tcPr>
            <w:tcW w:w="7512" w:type="dxa"/>
            <w:shd w:val="clear" w:color="auto" w:fill="auto"/>
          </w:tcPr>
          <w:p w14:paraId="602B401C" w14:textId="29EDA56B" w:rsidR="003C6FCF" w:rsidRPr="003A194D" w:rsidRDefault="003A194D" w:rsidP="0059139F">
            <w:pPr>
              <w:pStyle w:val="IASBNormal"/>
              <w:spacing w:before="120" w:after="240" w:line="276" w:lineRule="auto"/>
              <w:ind w:right="139"/>
              <w:rPr>
                <w:b/>
                <w:bCs/>
                <w:sz w:val="20"/>
              </w:rPr>
            </w:pPr>
            <w:r w:rsidRPr="003A194D">
              <w:rPr>
                <w:b/>
                <w:bCs/>
                <w:sz w:val="20"/>
                <w:szCs w:val="22"/>
              </w:rPr>
              <w:t>Do you agree with the IASB’s decision to consider amending the Standard to align it with IFRS 16 in a future review of the Standard? In responding to this question, please comment on the cost–benefit considerations in paragraphs (a) and (b)</w:t>
            </w:r>
            <w:r w:rsidR="00986D44">
              <w:rPr>
                <w:b/>
                <w:bCs/>
                <w:sz w:val="20"/>
                <w:szCs w:val="22"/>
              </w:rPr>
              <w:t xml:space="preserve"> of Question 12</w:t>
            </w:r>
            <w:r w:rsidRPr="003A194D">
              <w:rPr>
                <w:b/>
                <w:bCs/>
                <w:sz w:val="20"/>
                <w:szCs w:val="22"/>
              </w:rPr>
              <w:t>.</w:t>
            </w:r>
          </w:p>
        </w:tc>
        <w:tc>
          <w:tcPr>
            <w:tcW w:w="5813" w:type="dxa"/>
            <w:shd w:val="clear" w:color="auto" w:fill="auto"/>
          </w:tcPr>
          <w:p w14:paraId="7647499C"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6D729C" w:rsidRPr="006C02E0" w14:paraId="501704C6" w14:textId="77777777" w:rsidTr="006D729C">
        <w:trPr>
          <w:cantSplit/>
        </w:trPr>
        <w:tc>
          <w:tcPr>
            <w:tcW w:w="704" w:type="dxa"/>
            <w:shd w:val="clear" w:color="auto" w:fill="D9D9D9" w:themeFill="background1" w:themeFillShade="D9"/>
          </w:tcPr>
          <w:p w14:paraId="32C48E56" w14:textId="3C8F1BBC" w:rsidR="006D729C" w:rsidRPr="006C02E0" w:rsidRDefault="006D729C" w:rsidP="00C37998">
            <w:pPr>
              <w:pStyle w:val="ListParagraph"/>
              <w:spacing w:before="120" w:after="60" w:line="360" w:lineRule="auto"/>
              <w:ind w:left="0"/>
              <w:contextualSpacing w:val="0"/>
              <w:rPr>
                <w:rFonts w:ascii="Times New Roman" w:hAnsi="Times New Roman" w:cs="Times New Roman"/>
                <w:sz w:val="20"/>
                <w:szCs w:val="20"/>
              </w:rPr>
            </w:pPr>
            <w:r w:rsidRPr="006C02E0">
              <w:rPr>
                <w:rFonts w:ascii="Times New Roman" w:hAnsi="Times New Roman" w:cs="Times New Roman"/>
                <w:sz w:val="20"/>
                <w:szCs w:val="20"/>
              </w:rPr>
              <w:br w:type="page"/>
            </w:r>
            <w:r>
              <w:rPr>
                <w:rFonts w:ascii="Times New Roman" w:hAnsi="Times New Roman" w:cs="Times New Roman"/>
                <w:sz w:val="20"/>
                <w:szCs w:val="20"/>
              </w:rPr>
              <w:t>13</w:t>
            </w:r>
          </w:p>
        </w:tc>
        <w:tc>
          <w:tcPr>
            <w:tcW w:w="13325" w:type="dxa"/>
            <w:gridSpan w:val="2"/>
            <w:shd w:val="clear" w:color="auto" w:fill="D9D9D9" w:themeFill="background1" w:themeFillShade="D9"/>
          </w:tcPr>
          <w:p w14:paraId="50F1B8F9" w14:textId="77777777" w:rsidR="006D729C" w:rsidRPr="00325E2A" w:rsidRDefault="006D729C" w:rsidP="008476F1">
            <w:pPr>
              <w:spacing w:before="120" w:after="120"/>
              <w:rPr>
                <w:rFonts w:ascii="Times New Roman" w:eastAsia="Times New Roman" w:hAnsi="Times New Roman" w:cs="Times New Roman"/>
                <w:b/>
                <w:bCs/>
                <w:sz w:val="20"/>
                <w:szCs w:val="20"/>
                <w:lang w:eastAsia="en-GB"/>
              </w:rPr>
            </w:pPr>
            <w:r w:rsidRPr="00325E2A">
              <w:rPr>
                <w:rFonts w:ascii="Times New Roman" w:eastAsia="Times New Roman" w:hAnsi="Times New Roman" w:cs="Times New Roman"/>
                <w:b/>
                <w:bCs/>
                <w:sz w:val="20"/>
                <w:szCs w:val="20"/>
                <w:lang w:eastAsia="en-GB"/>
              </w:rPr>
              <w:t xml:space="preserve">Question 13—Recognition and measurement requirements for development costs </w:t>
            </w:r>
          </w:p>
          <w:p w14:paraId="6452024B" w14:textId="0CC4FE14" w:rsidR="006D729C" w:rsidRDefault="006D729C" w:rsidP="00C37998">
            <w:pPr>
              <w:pStyle w:val="IASBNormal"/>
              <w:spacing w:before="120" w:after="120" w:line="276" w:lineRule="auto"/>
              <w:ind w:right="142"/>
              <w:rPr>
                <w:sz w:val="20"/>
              </w:rPr>
            </w:pPr>
            <w:r w:rsidRPr="00325E2A">
              <w:rPr>
                <w:sz w:val="20"/>
              </w:rPr>
              <w:t xml:space="preserve">The Standard requires all development costs to be recognised as expenses, whereas IAS 38 </w:t>
            </w:r>
            <w:r w:rsidRPr="00325E2A">
              <w:rPr>
                <w:i/>
                <w:iCs/>
                <w:sz w:val="20"/>
              </w:rPr>
              <w:t>Intangible Assets</w:t>
            </w:r>
            <w:r w:rsidRPr="00325E2A">
              <w:rPr>
                <w:sz w:val="20"/>
              </w:rPr>
              <w:t xml:space="preserve"> requires the recognition of intangible assets arising from development costs that meet specified criteria. This simplification in the Standard was made for cost–benefit reasons. However, feedback on this comprehensive review questioned this cost–benefit decision. Therefore, the IASB is seeking views on whether it should amend the Standard to align it with IAS</w:t>
            </w:r>
            <w:r w:rsidR="00B25C3C">
              <w:rPr>
                <w:sz w:val="20"/>
              </w:rPr>
              <w:t> </w:t>
            </w:r>
            <w:r w:rsidRPr="00325E2A">
              <w:rPr>
                <w:sz w:val="20"/>
              </w:rPr>
              <w:t xml:space="preserve">38, including views on the costs and benefits of doing so. </w:t>
            </w:r>
          </w:p>
          <w:p w14:paraId="392EEF48" w14:textId="7E9139A0" w:rsidR="006D729C" w:rsidRDefault="006D729C" w:rsidP="00C37998">
            <w:pPr>
              <w:pStyle w:val="IASBNormal"/>
              <w:spacing w:before="120" w:after="120" w:line="276" w:lineRule="auto"/>
              <w:ind w:right="142"/>
              <w:rPr>
                <w:sz w:val="20"/>
              </w:rPr>
            </w:pPr>
            <w:r w:rsidRPr="00325E2A">
              <w:rPr>
                <w:sz w:val="20"/>
              </w:rPr>
              <w:t>Paragraphs BC253–BC257 of the Basis for Conclusions on th</w:t>
            </w:r>
            <w:r w:rsidR="00E71E3B">
              <w:rPr>
                <w:sz w:val="20"/>
              </w:rPr>
              <w:t>e</w:t>
            </w:r>
            <w:r w:rsidRPr="00325E2A">
              <w:rPr>
                <w:sz w:val="20"/>
              </w:rPr>
              <w:t xml:space="preserve"> Exposure Draft further explain the IASB’s rationale. </w:t>
            </w:r>
          </w:p>
          <w:p w14:paraId="589E768B" w14:textId="7BF9B361" w:rsidR="006D729C" w:rsidRDefault="006D729C" w:rsidP="00325E2A">
            <w:pPr>
              <w:pStyle w:val="IASBNormal"/>
              <w:spacing w:before="120" w:after="120" w:line="276" w:lineRule="auto"/>
              <w:ind w:right="142"/>
              <w:rPr>
                <w:sz w:val="20"/>
              </w:rPr>
            </w:pPr>
            <w:r w:rsidRPr="00325E2A">
              <w:rPr>
                <w:sz w:val="20"/>
              </w:rPr>
              <w:t>The entity would be required to demonstrate all of the criteria</w:t>
            </w:r>
            <w:r w:rsidR="002C2953">
              <w:rPr>
                <w:sz w:val="20"/>
              </w:rPr>
              <w:t xml:space="preserve"> </w:t>
            </w:r>
            <w:r w:rsidR="002C2953" w:rsidRPr="002C2953">
              <w:rPr>
                <w:sz w:val="20"/>
              </w:rPr>
              <w:t>in paragraphs 57(a)–(f) of IAS 38</w:t>
            </w:r>
            <w:r w:rsidR="00262759">
              <w:rPr>
                <w:sz w:val="20"/>
              </w:rPr>
              <w:t>, that is</w:t>
            </w:r>
            <w:r w:rsidRPr="00325E2A">
              <w:rPr>
                <w:sz w:val="20"/>
              </w:rPr>
              <w:t xml:space="preserve">: </w:t>
            </w:r>
          </w:p>
          <w:p w14:paraId="5236A715" w14:textId="77777777" w:rsidR="006D729C" w:rsidRPr="002232A7" w:rsidRDefault="006D729C" w:rsidP="002232A7">
            <w:pPr>
              <w:pStyle w:val="Boardpaperlevel2"/>
              <w:numPr>
                <w:ilvl w:val="0"/>
                <w:numId w:val="44"/>
              </w:numPr>
              <w:spacing w:before="120" w:line="276" w:lineRule="auto"/>
              <w:ind w:right="0"/>
              <w:rPr>
                <w:sz w:val="20"/>
                <w:szCs w:val="20"/>
              </w:rPr>
            </w:pPr>
            <w:r w:rsidRPr="002232A7">
              <w:rPr>
                <w:sz w:val="20"/>
                <w:szCs w:val="20"/>
              </w:rPr>
              <w:t xml:space="preserve">the technical feasibility of completing the intangible asset so that it will be ready for use or sale; </w:t>
            </w:r>
          </w:p>
          <w:p w14:paraId="15B4C2BF" w14:textId="77777777" w:rsidR="006D729C" w:rsidRPr="002232A7" w:rsidRDefault="006D729C" w:rsidP="002232A7">
            <w:pPr>
              <w:pStyle w:val="Boardpaperlevel2"/>
              <w:numPr>
                <w:ilvl w:val="0"/>
                <w:numId w:val="44"/>
              </w:numPr>
              <w:spacing w:before="120" w:line="276" w:lineRule="auto"/>
              <w:ind w:right="0"/>
              <w:rPr>
                <w:sz w:val="20"/>
                <w:szCs w:val="20"/>
              </w:rPr>
            </w:pPr>
            <w:r w:rsidRPr="002232A7">
              <w:rPr>
                <w:sz w:val="20"/>
                <w:szCs w:val="20"/>
              </w:rPr>
              <w:t xml:space="preserve">its intention to complete the intangible asset and use or sell it; </w:t>
            </w:r>
          </w:p>
          <w:p w14:paraId="529FE55D" w14:textId="77777777" w:rsidR="006D729C" w:rsidRPr="002232A7" w:rsidRDefault="006D729C" w:rsidP="002232A7">
            <w:pPr>
              <w:pStyle w:val="Boardpaperlevel2"/>
              <w:numPr>
                <w:ilvl w:val="0"/>
                <w:numId w:val="44"/>
              </w:numPr>
              <w:spacing w:before="120" w:line="276" w:lineRule="auto"/>
              <w:ind w:right="0"/>
              <w:rPr>
                <w:sz w:val="20"/>
                <w:szCs w:val="20"/>
              </w:rPr>
            </w:pPr>
            <w:r w:rsidRPr="002232A7">
              <w:rPr>
                <w:sz w:val="20"/>
                <w:szCs w:val="20"/>
              </w:rPr>
              <w:t xml:space="preserve">its ability to use or sell the intangible asset; </w:t>
            </w:r>
          </w:p>
          <w:p w14:paraId="5B2F01AB" w14:textId="77777777" w:rsidR="006D729C" w:rsidRPr="002232A7" w:rsidRDefault="006D729C" w:rsidP="002232A7">
            <w:pPr>
              <w:pStyle w:val="Boardpaperlevel2"/>
              <w:numPr>
                <w:ilvl w:val="0"/>
                <w:numId w:val="44"/>
              </w:numPr>
              <w:spacing w:before="120" w:line="276" w:lineRule="auto"/>
              <w:ind w:right="0"/>
              <w:rPr>
                <w:sz w:val="20"/>
                <w:szCs w:val="20"/>
              </w:rPr>
            </w:pPr>
            <w:r w:rsidRPr="002232A7">
              <w:rPr>
                <w:sz w:val="20"/>
                <w:szCs w:val="20"/>
              </w:rPr>
              <w:t xml:space="preserve">how the intangible asset will generate probable future economic benefits; </w:t>
            </w:r>
          </w:p>
          <w:p w14:paraId="109D123B" w14:textId="77777777" w:rsidR="006D729C" w:rsidRPr="002232A7" w:rsidRDefault="006D729C" w:rsidP="002232A7">
            <w:pPr>
              <w:pStyle w:val="Boardpaperlevel2"/>
              <w:numPr>
                <w:ilvl w:val="0"/>
                <w:numId w:val="44"/>
              </w:numPr>
              <w:spacing w:before="120" w:line="276" w:lineRule="auto"/>
              <w:ind w:right="0"/>
              <w:rPr>
                <w:sz w:val="20"/>
                <w:szCs w:val="20"/>
              </w:rPr>
            </w:pPr>
            <w:r w:rsidRPr="002232A7">
              <w:rPr>
                <w:sz w:val="20"/>
                <w:szCs w:val="20"/>
              </w:rPr>
              <w:t xml:space="preserve">the availability of adequate technical, financial and other financial resources to complete the development and to use or sell the intangible asset; and </w:t>
            </w:r>
          </w:p>
          <w:p w14:paraId="2D9BE117" w14:textId="7A89B977" w:rsidR="006D729C" w:rsidRPr="00B95CED" w:rsidRDefault="006D729C" w:rsidP="00B95CED">
            <w:pPr>
              <w:pStyle w:val="Boardpaperlevel2"/>
              <w:numPr>
                <w:ilvl w:val="0"/>
                <w:numId w:val="44"/>
              </w:numPr>
              <w:spacing w:before="120" w:line="276" w:lineRule="auto"/>
              <w:ind w:right="0"/>
              <w:rPr>
                <w:sz w:val="20"/>
                <w:szCs w:val="20"/>
              </w:rPr>
            </w:pPr>
            <w:r w:rsidRPr="002232A7">
              <w:rPr>
                <w:sz w:val="20"/>
                <w:szCs w:val="20"/>
              </w:rPr>
              <w:t>its ability to measure reliably the expenditure attributable to the intangible asset during its development.</w:t>
            </w:r>
          </w:p>
        </w:tc>
      </w:tr>
      <w:tr w:rsidR="00E3391E" w:rsidRPr="006C02E0" w14:paraId="2CF16CE0" w14:textId="77777777" w:rsidTr="006D729C">
        <w:tc>
          <w:tcPr>
            <w:tcW w:w="704" w:type="dxa"/>
          </w:tcPr>
          <w:p w14:paraId="560D820B" w14:textId="77777777" w:rsidR="00E3391E" w:rsidRPr="006C02E0" w:rsidRDefault="00E3391E" w:rsidP="006C02E0">
            <w:pPr>
              <w:pStyle w:val="ListParagraph"/>
              <w:spacing w:before="60" w:after="60" w:line="360" w:lineRule="auto"/>
              <w:ind w:left="0"/>
              <w:rPr>
                <w:rFonts w:ascii="Times New Roman" w:hAnsi="Times New Roman" w:cs="Times New Roman"/>
                <w:sz w:val="20"/>
                <w:szCs w:val="20"/>
              </w:rPr>
            </w:pPr>
          </w:p>
        </w:tc>
        <w:tc>
          <w:tcPr>
            <w:tcW w:w="7512" w:type="dxa"/>
            <w:shd w:val="clear" w:color="auto" w:fill="auto"/>
          </w:tcPr>
          <w:p w14:paraId="5F42C6DF" w14:textId="2334E20D" w:rsidR="00E3391E" w:rsidRPr="00325E2A" w:rsidRDefault="00325E2A" w:rsidP="00C37998">
            <w:pPr>
              <w:pStyle w:val="IASBNormal"/>
              <w:spacing w:before="120" w:after="120" w:line="276" w:lineRule="auto"/>
              <w:ind w:right="142"/>
              <w:rPr>
                <w:b/>
                <w:bCs/>
                <w:sz w:val="20"/>
              </w:rPr>
            </w:pPr>
            <w:r w:rsidRPr="00325E2A">
              <w:rPr>
                <w:b/>
                <w:bCs/>
                <w:sz w:val="20"/>
              </w:rPr>
              <w:t>What are your views on the costs and benefits, and the effects on users, of introducing an accounting policy option that permits an SME to recognise intangible assets arising from development costs that meet the criteria in paragraphs 57(a)–(f) of IAS</w:t>
            </w:r>
            <w:r w:rsidR="004452AD">
              <w:rPr>
                <w:b/>
                <w:bCs/>
                <w:sz w:val="20"/>
              </w:rPr>
              <w:t> </w:t>
            </w:r>
            <w:r w:rsidRPr="00325E2A">
              <w:rPr>
                <w:b/>
                <w:bCs/>
                <w:sz w:val="20"/>
              </w:rPr>
              <w:t>38?</w:t>
            </w:r>
          </w:p>
        </w:tc>
        <w:tc>
          <w:tcPr>
            <w:tcW w:w="5813" w:type="dxa"/>
            <w:shd w:val="clear" w:color="auto" w:fill="auto"/>
          </w:tcPr>
          <w:p w14:paraId="1FD441EA"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bl>
    <w:p w14:paraId="06E3FF5C" w14:textId="77777777" w:rsidR="00D228A9" w:rsidRDefault="00D228A9" w:rsidP="00EB4BED"/>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8A36E0" w:rsidRPr="006C02E0" w14:paraId="0B2B2CB3" w14:textId="77777777">
        <w:trPr>
          <w:tblHeader/>
        </w:trPr>
        <w:tc>
          <w:tcPr>
            <w:tcW w:w="704" w:type="dxa"/>
          </w:tcPr>
          <w:p w14:paraId="61567F4B" w14:textId="77777777" w:rsidR="008A36E0" w:rsidRPr="00C37998" w:rsidRDefault="008A36E0">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lastRenderedPageBreak/>
              <w:t xml:space="preserve">Ref </w:t>
            </w:r>
          </w:p>
        </w:tc>
        <w:tc>
          <w:tcPr>
            <w:tcW w:w="7512" w:type="dxa"/>
          </w:tcPr>
          <w:p w14:paraId="4E5E5A61" w14:textId="77777777" w:rsidR="008A36E0" w:rsidRPr="00C37998" w:rsidRDefault="008A36E0">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Question </w:t>
            </w:r>
          </w:p>
        </w:tc>
        <w:tc>
          <w:tcPr>
            <w:tcW w:w="5813" w:type="dxa"/>
          </w:tcPr>
          <w:p w14:paraId="14BE17ED" w14:textId="77777777" w:rsidR="008A36E0" w:rsidRPr="00C37998" w:rsidRDefault="008A36E0">
            <w:pPr>
              <w:pStyle w:val="PlainText"/>
              <w:rPr>
                <w:rFonts w:ascii="Times New Roman" w:hAnsi="Times New Roman"/>
                <w:b/>
                <w:sz w:val="24"/>
                <w:szCs w:val="24"/>
              </w:rPr>
            </w:pPr>
            <w:r w:rsidRPr="00C37998">
              <w:rPr>
                <w:rFonts w:ascii="Times New Roman" w:hAnsi="Times New Roman"/>
                <w:b/>
                <w:sz w:val="24"/>
                <w:szCs w:val="24"/>
              </w:rPr>
              <w:t xml:space="preserve">Response </w:t>
            </w:r>
          </w:p>
          <w:p w14:paraId="5BA8AD06" w14:textId="77777777" w:rsidR="008A36E0" w:rsidRPr="00C37998" w:rsidRDefault="008A36E0">
            <w:pPr>
              <w:pStyle w:val="ListParagraph"/>
              <w:snapToGrid w:val="0"/>
              <w:spacing w:after="0" w:line="240" w:lineRule="auto"/>
              <w:ind w:left="0"/>
              <w:contextualSpacing w:val="0"/>
              <w:rPr>
                <w:rFonts w:ascii="Times New Roman" w:hAnsi="Times New Roman" w:cs="Times New Roman"/>
                <w:i/>
                <w:iCs/>
                <w:sz w:val="24"/>
                <w:szCs w:val="24"/>
              </w:rPr>
            </w:pPr>
            <w:r w:rsidRPr="00C37998">
              <w:rPr>
                <w:rFonts w:ascii="Times New Roman" w:hAnsi="Times New Roman" w:cs="Times New Roman"/>
                <w:i/>
                <w:iCs/>
                <w:sz w:val="24"/>
                <w:szCs w:val="24"/>
              </w:rPr>
              <w:t>(Please give clear reasoning to support your response)</w:t>
            </w:r>
          </w:p>
          <w:p w14:paraId="7102956B" w14:textId="77777777" w:rsidR="008A36E0" w:rsidRPr="00C37998" w:rsidRDefault="008A36E0">
            <w:pPr>
              <w:pStyle w:val="ListParagraph"/>
              <w:snapToGrid w:val="0"/>
              <w:spacing w:after="0" w:line="240" w:lineRule="auto"/>
              <w:ind w:left="0"/>
              <w:contextualSpacing w:val="0"/>
              <w:rPr>
                <w:rFonts w:ascii="Times New Roman" w:hAnsi="Times New Roman" w:cs="Times New Roman"/>
                <w:b/>
                <w:sz w:val="24"/>
                <w:szCs w:val="24"/>
              </w:rPr>
            </w:pPr>
          </w:p>
        </w:tc>
      </w:tr>
      <w:tr w:rsidR="008A36E0" w:rsidRPr="006C02E0" w14:paraId="4F9BD6B5" w14:textId="77777777">
        <w:tc>
          <w:tcPr>
            <w:tcW w:w="14029" w:type="dxa"/>
            <w:gridSpan w:val="3"/>
            <w:shd w:val="clear" w:color="auto" w:fill="000000" w:themeFill="text1"/>
          </w:tcPr>
          <w:p w14:paraId="125E8833" w14:textId="63693C9D" w:rsidR="008A36E0" w:rsidRPr="0091025A" w:rsidRDefault="0091025A">
            <w:pPr>
              <w:autoSpaceDE w:val="0"/>
              <w:autoSpaceDN w:val="0"/>
              <w:adjustRightInd w:val="0"/>
              <w:spacing w:before="120" w:after="120"/>
              <w:rPr>
                <w:rFonts w:ascii="Times New Roman" w:eastAsia="Bookman Old Style" w:hAnsi="Times New Roman"/>
                <w:color w:val="FFFFFF" w:themeColor="background1"/>
                <w:sz w:val="20"/>
                <w:szCs w:val="20"/>
              </w:rPr>
            </w:pPr>
            <w:r>
              <w:rPr>
                <w:rFonts w:ascii="Times New Roman" w:eastAsia="Bookman Old Style" w:hAnsi="Times New Roman" w:cs="Times New Roman"/>
                <w:color w:val="FFFFFF" w:themeColor="background1"/>
                <w:sz w:val="20"/>
                <w:szCs w:val="20"/>
              </w:rPr>
              <w:t>Questions for respondents—Full IFRS Accounting Standards in the scope of this review for which the IASB is not proposing to align the Standard</w:t>
            </w:r>
          </w:p>
        </w:tc>
      </w:tr>
      <w:tr w:rsidR="005308DF" w:rsidRPr="006C02E0" w14:paraId="568CCEBA" w14:textId="77777777" w:rsidTr="005308DF">
        <w:tc>
          <w:tcPr>
            <w:tcW w:w="704" w:type="dxa"/>
            <w:shd w:val="clear" w:color="auto" w:fill="D9D9D9" w:themeFill="background1" w:themeFillShade="D9"/>
          </w:tcPr>
          <w:p w14:paraId="2888B0DA" w14:textId="7223056B" w:rsidR="005308DF" w:rsidRPr="006C02E0" w:rsidRDefault="005308DF">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14</w:t>
            </w:r>
          </w:p>
        </w:tc>
        <w:tc>
          <w:tcPr>
            <w:tcW w:w="13325" w:type="dxa"/>
            <w:gridSpan w:val="2"/>
            <w:shd w:val="clear" w:color="auto" w:fill="D9D9D9" w:themeFill="background1" w:themeFillShade="D9"/>
          </w:tcPr>
          <w:p w14:paraId="5906890F" w14:textId="77777777" w:rsidR="005308DF" w:rsidRPr="007D57BD" w:rsidRDefault="005308DF">
            <w:pPr>
              <w:spacing w:before="120" w:after="120"/>
              <w:rPr>
                <w:rFonts w:ascii="Times New Roman" w:eastAsia="Times New Roman" w:hAnsi="Times New Roman" w:cs="Times New Roman"/>
                <w:b/>
                <w:bCs/>
                <w:i/>
                <w:iCs/>
                <w:sz w:val="20"/>
                <w:szCs w:val="20"/>
                <w:lang w:eastAsia="en-GB"/>
              </w:rPr>
            </w:pPr>
            <w:r>
              <w:rPr>
                <w:rFonts w:ascii="Times New Roman" w:eastAsia="Times New Roman" w:hAnsi="Times New Roman" w:cs="Times New Roman"/>
                <w:b/>
                <w:bCs/>
                <w:sz w:val="20"/>
                <w:szCs w:val="20"/>
                <w:lang w:eastAsia="en-GB"/>
              </w:rPr>
              <w:t>Question 14—Requirement to offset equity instruments</w:t>
            </w:r>
          </w:p>
          <w:p w14:paraId="1D0150FE" w14:textId="6AC4E2C8" w:rsidR="005308DF" w:rsidRPr="006C02E0" w:rsidRDefault="005308DF" w:rsidP="001E44B4">
            <w:pPr>
              <w:pStyle w:val="ListParagraph"/>
              <w:snapToGrid w:val="0"/>
              <w:spacing w:before="60" w:after="60"/>
              <w:ind w:left="0"/>
              <w:contextualSpacing w:val="0"/>
              <w:rPr>
                <w:rFonts w:ascii="Times New Roman" w:hAnsi="Times New Roman" w:cs="Times New Roman"/>
                <w:b/>
                <w:sz w:val="20"/>
                <w:szCs w:val="20"/>
              </w:rPr>
            </w:pPr>
            <w:r w:rsidRPr="00845B3D">
              <w:rPr>
                <w:rFonts w:ascii="Times New Roman" w:hAnsi="Times New Roman" w:cs="Times New Roman"/>
                <w:sz w:val="20"/>
                <w:szCs w:val="20"/>
              </w:rPr>
              <w:t>Paragraph 22.7(a) of the Standard states that if equity instruments are issued before an entity receives cash or other resources, the amount receivable is presented as an offset to equity in the statement of financial position, instead of being presented as an asset. Feedback from the first comprehensive review suggested that this requirement may conflict with local legislation. Stakeholders provided similar feedback during this second comprehensive review, suggesting that the IASB remove the requirement in paragraph 22.7(a) because it diverges from full IFRS Accounting Standards, which include no similar requirement for equity instruments.</w:t>
            </w:r>
          </w:p>
        </w:tc>
      </w:tr>
      <w:tr w:rsidR="008A36E0" w:rsidRPr="006C02E0" w14:paraId="0789C2D2" w14:textId="77777777" w:rsidTr="005308DF">
        <w:tc>
          <w:tcPr>
            <w:tcW w:w="704" w:type="dxa"/>
          </w:tcPr>
          <w:p w14:paraId="41DE6224" w14:textId="77777777" w:rsidR="008A36E0" w:rsidRPr="006C02E0" w:rsidRDefault="008A36E0">
            <w:pPr>
              <w:pStyle w:val="ListParagraph"/>
              <w:spacing w:before="60" w:after="60" w:line="360" w:lineRule="auto"/>
              <w:ind w:left="0"/>
              <w:rPr>
                <w:rFonts w:ascii="Times New Roman" w:hAnsi="Times New Roman" w:cs="Times New Roman"/>
                <w:sz w:val="20"/>
                <w:szCs w:val="20"/>
              </w:rPr>
            </w:pPr>
          </w:p>
        </w:tc>
        <w:tc>
          <w:tcPr>
            <w:tcW w:w="7512" w:type="dxa"/>
            <w:shd w:val="clear" w:color="auto" w:fill="auto"/>
          </w:tcPr>
          <w:p w14:paraId="0B67CF08" w14:textId="46D3B0BB" w:rsidR="008A36E0" w:rsidRPr="00325E2A" w:rsidRDefault="008A36E0">
            <w:pPr>
              <w:pStyle w:val="IASBNormal"/>
              <w:spacing w:before="120" w:after="120" w:line="276" w:lineRule="auto"/>
              <w:ind w:right="142"/>
              <w:rPr>
                <w:b/>
                <w:bCs/>
                <w:sz w:val="20"/>
              </w:rPr>
            </w:pPr>
            <w:r w:rsidRPr="00325E2A">
              <w:rPr>
                <w:b/>
                <w:bCs/>
                <w:sz w:val="20"/>
              </w:rPr>
              <w:t xml:space="preserve">What are your views on </w:t>
            </w:r>
            <w:r w:rsidR="00845B3D">
              <w:rPr>
                <w:b/>
                <w:bCs/>
                <w:sz w:val="20"/>
              </w:rPr>
              <w:t>removing paragraph 22.7(a)?</w:t>
            </w:r>
          </w:p>
        </w:tc>
        <w:tc>
          <w:tcPr>
            <w:tcW w:w="5813" w:type="dxa"/>
            <w:shd w:val="clear" w:color="auto" w:fill="auto"/>
          </w:tcPr>
          <w:p w14:paraId="287E121E" w14:textId="77777777" w:rsidR="008A36E0" w:rsidRPr="006C02E0" w:rsidRDefault="008A36E0">
            <w:pPr>
              <w:pStyle w:val="ListParagraph"/>
              <w:snapToGrid w:val="0"/>
              <w:spacing w:before="60" w:after="60" w:line="360" w:lineRule="auto"/>
              <w:ind w:left="0"/>
              <w:contextualSpacing w:val="0"/>
              <w:rPr>
                <w:rFonts w:ascii="Times New Roman" w:hAnsi="Times New Roman" w:cs="Times New Roman"/>
                <w:b/>
                <w:sz w:val="20"/>
                <w:szCs w:val="20"/>
              </w:rPr>
            </w:pPr>
          </w:p>
        </w:tc>
      </w:tr>
    </w:tbl>
    <w:p w14:paraId="7F380E7C" w14:textId="77777777" w:rsidR="008A36E0" w:rsidRPr="00986D44" w:rsidRDefault="008A36E0" w:rsidP="00EB4BED"/>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2E1CF2" w:rsidRPr="006C02E0" w14:paraId="7E688CA5" w14:textId="77777777">
        <w:trPr>
          <w:tblHeader/>
        </w:trPr>
        <w:tc>
          <w:tcPr>
            <w:tcW w:w="704" w:type="dxa"/>
          </w:tcPr>
          <w:p w14:paraId="5C965B7D" w14:textId="77777777" w:rsidR="002E1CF2" w:rsidRPr="00C37998" w:rsidRDefault="002E1CF2">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Ref </w:t>
            </w:r>
          </w:p>
        </w:tc>
        <w:tc>
          <w:tcPr>
            <w:tcW w:w="7512" w:type="dxa"/>
          </w:tcPr>
          <w:p w14:paraId="0F40A66D" w14:textId="77777777" w:rsidR="002E1CF2" w:rsidRPr="00C37998" w:rsidRDefault="002E1CF2">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Question </w:t>
            </w:r>
          </w:p>
        </w:tc>
        <w:tc>
          <w:tcPr>
            <w:tcW w:w="5813" w:type="dxa"/>
          </w:tcPr>
          <w:p w14:paraId="3E3D592C" w14:textId="77777777" w:rsidR="002E1CF2" w:rsidRPr="00C37998" w:rsidRDefault="002E1CF2">
            <w:pPr>
              <w:pStyle w:val="PlainText"/>
              <w:rPr>
                <w:rFonts w:ascii="Times New Roman" w:hAnsi="Times New Roman"/>
                <w:b/>
                <w:sz w:val="24"/>
                <w:szCs w:val="24"/>
              </w:rPr>
            </w:pPr>
            <w:r w:rsidRPr="00C37998">
              <w:rPr>
                <w:rFonts w:ascii="Times New Roman" w:hAnsi="Times New Roman"/>
                <w:b/>
                <w:sz w:val="24"/>
                <w:szCs w:val="24"/>
              </w:rPr>
              <w:t xml:space="preserve">Response </w:t>
            </w:r>
          </w:p>
          <w:p w14:paraId="5292C1F4" w14:textId="77777777" w:rsidR="002E1CF2" w:rsidRPr="00C37998" w:rsidRDefault="002E1CF2">
            <w:pPr>
              <w:pStyle w:val="ListParagraph"/>
              <w:snapToGrid w:val="0"/>
              <w:spacing w:after="0" w:line="240" w:lineRule="auto"/>
              <w:ind w:left="0"/>
              <w:contextualSpacing w:val="0"/>
              <w:rPr>
                <w:rFonts w:ascii="Times New Roman" w:hAnsi="Times New Roman" w:cs="Times New Roman"/>
                <w:i/>
                <w:iCs/>
                <w:sz w:val="24"/>
                <w:szCs w:val="24"/>
              </w:rPr>
            </w:pPr>
            <w:r w:rsidRPr="00C37998">
              <w:rPr>
                <w:rFonts w:ascii="Times New Roman" w:hAnsi="Times New Roman" w:cs="Times New Roman"/>
                <w:i/>
                <w:iCs/>
                <w:sz w:val="24"/>
                <w:szCs w:val="24"/>
              </w:rPr>
              <w:t>(Please give clear reasoning to support your response)</w:t>
            </w:r>
          </w:p>
          <w:p w14:paraId="632786BB" w14:textId="77777777" w:rsidR="002E1CF2" w:rsidRPr="00C37998" w:rsidRDefault="002E1CF2">
            <w:pPr>
              <w:pStyle w:val="ListParagraph"/>
              <w:snapToGrid w:val="0"/>
              <w:spacing w:after="0" w:line="240" w:lineRule="auto"/>
              <w:ind w:left="0"/>
              <w:contextualSpacing w:val="0"/>
              <w:rPr>
                <w:rFonts w:ascii="Times New Roman" w:hAnsi="Times New Roman" w:cs="Times New Roman"/>
                <w:b/>
                <w:sz w:val="24"/>
                <w:szCs w:val="24"/>
              </w:rPr>
            </w:pPr>
          </w:p>
        </w:tc>
      </w:tr>
      <w:tr w:rsidR="002E1CF2" w:rsidRPr="006C02E0" w14:paraId="7530D70C" w14:textId="77777777">
        <w:tc>
          <w:tcPr>
            <w:tcW w:w="14029" w:type="dxa"/>
            <w:gridSpan w:val="3"/>
            <w:shd w:val="clear" w:color="auto" w:fill="000000" w:themeFill="text1"/>
          </w:tcPr>
          <w:p w14:paraId="0BE8988C" w14:textId="3EE83C95" w:rsidR="002E1CF2" w:rsidRPr="0091025A" w:rsidRDefault="0091025A">
            <w:pPr>
              <w:autoSpaceDE w:val="0"/>
              <w:autoSpaceDN w:val="0"/>
              <w:adjustRightInd w:val="0"/>
              <w:spacing w:before="120" w:after="120"/>
              <w:rPr>
                <w:rFonts w:ascii="Times New Roman" w:eastAsia="Bookman Old Style" w:hAnsi="Times New Roman"/>
                <w:color w:val="FFFFFF" w:themeColor="background1"/>
                <w:sz w:val="20"/>
                <w:szCs w:val="20"/>
              </w:rPr>
            </w:pPr>
            <w:r>
              <w:rPr>
                <w:rFonts w:ascii="Times New Roman" w:eastAsia="Bookman Old Style" w:hAnsi="Times New Roman"/>
                <w:color w:val="FFFFFF" w:themeColor="background1"/>
                <w:sz w:val="20"/>
                <w:szCs w:val="20"/>
              </w:rPr>
              <w:t xml:space="preserve">Questions for respondents–—Updating the paragraph numbers of the </w:t>
            </w:r>
            <w:r>
              <w:rPr>
                <w:rFonts w:ascii="Times New Roman" w:eastAsia="Bookman Old Style" w:hAnsi="Times New Roman"/>
                <w:i/>
                <w:iCs/>
                <w:color w:val="FFFFFF" w:themeColor="background1"/>
                <w:sz w:val="20"/>
                <w:szCs w:val="20"/>
              </w:rPr>
              <w:t xml:space="preserve">IFRS for SMEs </w:t>
            </w:r>
            <w:r>
              <w:rPr>
                <w:rFonts w:ascii="Times New Roman" w:eastAsia="Bookman Old Style" w:hAnsi="Times New Roman"/>
                <w:color w:val="FFFFFF" w:themeColor="background1"/>
                <w:sz w:val="20"/>
                <w:szCs w:val="20"/>
              </w:rPr>
              <w:t>Accounting Standard</w:t>
            </w:r>
          </w:p>
        </w:tc>
      </w:tr>
      <w:tr w:rsidR="005308DF" w:rsidRPr="006C02E0" w14:paraId="07724614" w14:textId="77777777" w:rsidTr="001E44B4">
        <w:trPr>
          <w:trHeight w:val="1753"/>
        </w:trPr>
        <w:tc>
          <w:tcPr>
            <w:tcW w:w="704" w:type="dxa"/>
            <w:shd w:val="clear" w:color="auto" w:fill="D9D9D9" w:themeFill="background1" w:themeFillShade="D9"/>
          </w:tcPr>
          <w:p w14:paraId="6DB6DD4B" w14:textId="2170B530" w:rsidR="005308DF" w:rsidRPr="006C02E0" w:rsidRDefault="005308DF">
            <w:pPr>
              <w:pStyle w:val="ListParagraph"/>
              <w:spacing w:before="120" w:after="60" w:line="360" w:lineRule="auto"/>
              <w:ind w:left="0"/>
              <w:contextualSpacing w:val="0"/>
              <w:rPr>
                <w:rFonts w:ascii="Times New Roman" w:hAnsi="Times New Roman" w:cs="Times New Roman"/>
                <w:sz w:val="20"/>
                <w:szCs w:val="20"/>
              </w:rPr>
            </w:pPr>
            <w:r>
              <w:rPr>
                <w:rFonts w:ascii="Times New Roman" w:hAnsi="Times New Roman" w:cs="Times New Roman"/>
                <w:sz w:val="20"/>
                <w:szCs w:val="20"/>
              </w:rPr>
              <w:t>15</w:t>
            </w:r>
          </w:p>
        </w:tc>
        <w:tc>
          <w:tcPr>
            <w:tcW w:w="13325" w:type="dxa"/>
            <w:gridSpan w:val="2"/>
            <w:shd w:val="clear" w:color="auto" w:fill="D9D9D9" w:themeFill="background1" w:themeFillShade="D9"/>
          </w:tcPr>
          <w:p w14:paraId="0F1173BA" w14:textId="77777777" w:rsidR="005308DF" w:rsidRPr="002F40DC" w:rsidRDefault="005308DF">
            <w:pPr>
              <w:spacing w:before="120" w:after="120"/>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 xml:space="preserve">Question 15—Updating the paragraph numbers of the </w:t>
            </w:r>
            <w:r>
              <w:rPr>
                <w:rFonts w:ascii="Times New Roman" w:eastAsia="Times New Roman" w:hAnsi="Times New Roman" w:cs="Times New Roman"/>
                <w:b/>
                <w:bCs/>
                <w:i/>
                <w:iCs/>
                <w:sz w:val="20"/>
                <w:szCs w:val="20"/>
                <w:lang w:eastAsia="en-GB"/>
              </w:rPr>
              <w:t xml:space="preserve">IFRS for SMEs </w:t>
            </w:r>
            <w:r>
              <w:rPr>
                <w:rFonts w:ascii="Times New Roman" w:eastAsia="Times New Roman" w:hAnsi="Times New Roman" w:cs="Times New Roman"/>
                <w:b/>
                <w:bCs/>
                <w:sz w:val="20"/>
                <w:szCs w:val="20"/>
                <w:lang w:eastAsia="en-GB"/>
              </w:rPr>
              <w:t>Accounting Standard</w:t>
            </w:r>
          </w:p>
          <w:p w14:paraId="2B915361" w14:textId="77777777" w:rsidR="005308DF" w:rsidRDefault="005308DF">
            <w:pPr>
              <w:pStyle w:val="TableParagraph"/>
              <w:spacing w:before="120" w:after="120" w:line="276" w:lineRule="auto"/>
              <w:ind w:left="0" w:right="142"/>
              <w:rPr>
                <w:rFonts w:ascii="Times New Roman" w:hAnsi="Times New Roman" w:cs="Times New Roman"/>
                <w:sz w:val="20"/>
                <w:szCs w:val="20"/>
              </w:rPr>
            </w:pPr>
            <w:r w:rsidRPr="00492394">
              <w:rPr>
                <w:rFonts w:ascii="Times New Roman" w:hAnsi="Times New Roman" w:cs="Times New Roman"/>
                <w:sz w:val="20"/>
                <w:szCs w:val="20"/>
              </w:rPr>
              <w:t xml:space="preserve">The proposed amendments to the requirements in the </w:t>
            </w:r>
            <w:r w:rsidRPr="003D1EA6">
              <w:rPr>
                <w:rFonts w:ascii="Times New Roman" w:hAnsi="Times New Roman" w:cs="Times New Roman"/>
                <w:i/>
                <w:iCs/>
                <w:sz w:val="20"/>
                <w:szCs w:val="20"/>
              </w:rPr>
              <w:t>IFRS for SMEs</w:t>
            </w:r>
            <w:r w:rsidRPr="00492394">
              <w:rPr>
                <w:rFonts w:ascii="Times New Roman" w:hAnsi="Times New Roman" w:cs="Times New Roman"/>
                <w:sz w:val="20"/>
                <w:szCs w:val="20"/>
              </w:rPr>
              <w:t xml:space="preserve"> Accounting Standard include the addition of new paragraphs and the deletion of existing paragraphs. A new paragraph is numbered in continuation from a previous paragraph. A deleted paragraph retains the paragraph number. </w:t>
            </w:r>
          </w:p>
          <w:p w14:paraId="6C9E1400" w14:textId="01387B8C" w:rsidR="005308DF" w:rsidRPr="006C02E0" w:rsidRDefault="005308DF" w:rsidP="001E44B4">
            <w:pPr>
              <w:pStyle w:val="ListParagraph"/>
              <w:snapToGrid w:val="0"/>
              <w:spacing w:before="60" w:after="60"/>
              <w:ind w:left="0"/>
              <w:contextualSpacing w:val="0"/>
              <w:rPr>
                <w:rFonts w:ascii="Times New Roman" w:hAnsi="Times New Roman" w:cs="Times New Roman"/>
                <w:b/>
                <w:sz w:val="20"/>
                <w:szCs w:val="20"/>
              </w:rPr>
            </w:pPr>
            <w:r w:rsidRPr="00492394">
              <w:rPr>
                <w:rFonts w:ascii="Times New Roman" w:hAnsi="Times New Roman" w:cs="Times New Roman"/>
                <w:sz w:val="20"/>
                <w:szCs w:val="20"/>
              </w:rPr>
              <w:t xml:space="preserve">Sometimes, the addition or deletion of paragraphs within a section may complicate the readability of the Standard (for example, Section 19 </w:t>
            </w:r>
            <w:r w:rsidRPr="003D1EA6">
              <w:rPr>
                <w:rFonts w:ascii="Times New Roman" w:hAnsi="Times New Roman" w:cs="Times New Roman"/>
                <w:i/>
                <w:iCs/>
                <w:sz w:val="20"/>
                <w:szCs w:val="20"/>
              </w:rPr>
              <w:t>Business Combinations and Goodwill</w:t>
            </w:r>
            <w:r w:rsidRPr="00492394">
              <w:rPr>
                <w:rFonts w:ascii="Times New Roman" w:hAnsi="Times New Roman" w:cs="Times New Roman"/>
                <w:sz w:val="20"/>
                <w:szCs w:val="20"/>
              </w:rPr>
              <w:t xml:space="preserve">). As an alternative, a section may be revised, with paragraphs renumbered to show only requirements that would still be applicable, without a placeholder for deleted paragraphs (for example, Section 2 </w:t>
            </w:r>
            <w:r w:rsidRPr="003D1EA6">
              <w:rPr>
                <w:rFonts w:ascii="Times New Roman" w:hAnsi="Times New Roman" w:cs="Times New Roman"/>
                <w:i/>
                <w:iCs/>
                <w:sz w:val="20"/>
                <w:szCs w:val="20"/>
              </w:rPr>
              <w:t>Concepts and Pervasive Principles</w:t>
            </w:r>
            <w:r w:rsidRPr="00492394">
              <w:rPr>
                <w:rFonts w:ascii="Times New Roman" w:hAnsi="Times New Roman" w:cs="Times New Roman"/>
                <w:sz w:val="20"/>
                <w:szCs w:val="20"/>
              </w:rPr>
              <w:t xml:space="preserve">). </w:t>
            </w:r>
          </w:p>
        </w:tc>
      </w:tr>
      <w:tr w:rsidR="002E1CF2" w:rsidRPr="006C02E0" w14:paraId="5443F160" w14:textId="77777777" w:rsidTr="005308DF">
        <w:tc>
          <w:tcPr>
            <w:tcW w:w="704" w:type="dxa"/>
          </w:tcPr>
          <w:p w14:paraId="45F72D54" w14:textId="77777777" w:rsidR="002E1CF2" w:rsidRPr="006C02E0" w:rsidRDefault="002E1CF2">
            <w:pPr>
              <w:pStyle w:val="ListParagraph"/>
              <w:spacing w:before="60" w:after="60" w:line="360" w:lineRule="auto"/>
              <w:ind w:left="0"/>
              <w:rPr>
                <w:rFonts w:ascii="Times New Roman" w:hAnsi="Times New Roman" w:cs="Times New Roman"/>
                <w:sz w:val="20"/>
                <w:szCs w:val="20"/>
              </w:rPr>
            </w:pPr>
          </w:p>
        </w:tc>
        <w:tc>
          <w:tcPr>
            <w:tcW w:w="7512" w:type="dxa"/>
            <w:shd w:val="clear" w:color="auto" w:fill="auto"/>
          </w:tcPr>
          <w:p w14:paraId="3692D4F8" w14:textId="10B3D2CE" w:rsidR="002E1CF2" w:rsidRPr="00325E2A" w:rsidRDefault="002E1CF2">
            <w:pPr>
              <w:pStyle w:val="IASBNormal"/>
              <w:spacing w:before="120" w:after="120" w:line="276" w:lineRule="auto"/>
              <w:ind w:right="142"/>
              <w:rPr>
                <w:b/>
                <w:bCs/>
                <w:sz w:val="20"/>
              </w:rPr>
            </w:pPr>
            <w:r w:rsidRPr="00325E2A">
              <w:rPr>
                <w:b/>
                <w:bCs/>
                <w:sz w:val="20"/>
              </w:rPr>
              <w:t>What are your views on</w:t>
            </w:r>
            <w:r w:rsidR="00492394">
              <w:rPr>
                <w:b/>
                <w:bCs/>
                <w:sz w:val="20"/>
              </w:rPr>
              <w:t xml:space="preserve"> </w:t>
            </w:r>
            <w:r w:rsidR="00492394" w:rsidRPr="00492394">
              <w:rPr>
                <w:b/>
                <w:bCs/>
                <w:sz w:val="20"/>
              </w:rPr>
              <w:t>the approach taken to retain or amend paragraph numbers in each section of th</w:t>
            </w:r>
            <w:r w:rsidR="00E71E3B">
              <w:rPr>
                <w:b/>
                <w:bCs/>
                <w:sz w:val="20"/>
              </w:rPr>
              <w:t>e</w:t>
            </w:r>
            <w:r w:rsidR="00492394" w:rsidRPr="00492394">
              <w:rPr>
                <w:b/>
                <w:bCs/>
                <w:sz w:val="20"/>
              </w:rPr>
              <w:t xml:space="preserve"> Exposure Draft?</w:t>
            </w:r>
          </w:p>
        </w:tc>
        <w:tc>
          <w:tcPr>
            <w:tcW w:w="5813" w:type="dxa"/>
            <w:shd w:val="clear" w:color="auto" w:fill="auto"/>
          </w:tcPr>
          <w:p w14:paraId="3A0105B0" w14:textId="77777777" w:rsidR="002E1CF2" w:rsidRPr="006C02E0" w:rsidRDefault="002E1CF2">
            <w:pPr>
              <w:pStyle w:val="ListParagraph"/>
              <w:snapToGrid w:val="0"/>
              <w:spacing w:before="60" w:after="60" w:line="360" w:lineRule="auto"/>
              <w:ind w:left="0"/>
              <w:contextualSpacing w:val="0"/>
              <w:rPr>
                <w:rFonts w:ascii="Times New Roman" w:hAnsi="Times New Roman" w:cs="Times New Roman"/>
                <w:b/>
                <w:sz w:val="20"/>
                <w:szCs w:val="20"/>
              </w:rPr>
            </w:pPr>
          </w:p>
        </w:tc>
      </w:tr>
    </w:tbl>
    <w:p w14:paraId="451F96F3" w14:textId="2275A5AC" w:rsidR="002A6D4E" w:rsidRPr="00EB4BED" w:rsidRDefault="002A6D4E" w:rsidP="00EB4BED"/>
    <w:sectPr w:rsidR="002A6D4E" w:rsidRPr="00EB4BED" w:rsidSect="00EB4BED">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1772" w14:textId="77777777" w:rsidR="00DD5FED" w:rsidRDefault="00DD5FED">
      <w:pPr>
        <w:spacing w:after="0" w:line="240" w:lineRule="auto"/>
      </w:pPr>
      <w:r>
        <w:separator/>
      </w:r>
    </w:p>
  </w:endnote>
  <w:endnote w:type="continuationSeparator" w:id="0">
    <w:p w14:paraId="4EBB8F7A" w14:textId="77777777" w:rsidR="00DD5FED" w:rsidRDefault="00DD5FED">
      <w:pPr>
        <w:spacing w:after="0" w:line="240" w:lineRule="auto"/>
      </w:pPr>
      <w:r>
        <w:continuationSeparator/>
      </w:r>
    </w:p>
  </w:endnote>
  <w:endnote w:type="continuationNotice" w:id="1">
    <w:p w14:paraId="0F69F5E3" w14:textId="77777777" w:rsidR="00DD5FED" w:rsidRDefault="00DD5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ft LT Pro">
    <w:altName w:val="Arial"/>
    <w:panose1 w:val="00000000000000000000"/>
    <w:charset w:val="00"/>
    <w:family w:val="modern"/>
    <w:notTrueType/>
    <w:pitch w:val="variable"/>
    <w:sig w:usb0="80000007" w:usb1="00000042" w:usb2="00000000" w:usb3="00000000" w:csb0="00000003" w:csb1="00000000"/>
  </w:font>
  <w:font w:name="Helvetica LT Std">
    <w:panose1 w:val="00000000000000000000"/>
    <w:charset w:val="00"/>
    <w:family w:val="swiss"/>
    <w:notTrueType/>
    <w:pitch w:val="variable"/>
    <w:sig w:usb0="800002AF" w:usb1="5000204A" w:usb2="00000000" w:usb3="00000000" w:csb0="00000005"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1D45" w14:textId="1E2CEE79" w:rsidR="00CD2B7C" w:rsidRPr="005D1ABD" w:rsidRDefault="005D1ABD" w:rsidP="005D1ABD">
    <w:pPr>
      <w:pStyle w:val="Header"/>
      <w:jc w:val="right"/>
      <w:rPr>
        <w:rFonts w:ascii="Times New Roman" w:hAnsi="Times New Roman" w:cs="Times New Roman"/>
        <w:sz w:val="20"/>
        <w:szCs w:val="20"/>
      </w:rPr>
    </w:pPr>
    <w:r w:rsidRPr="005D1ABD">
      <w:rPr>
        <w:rFonts w:ascii="Times New Roman" w:hAnsi="Times New Roman" w:cs="Times New Roman"/>
        <w:sz w:val="20"/>
        <w:szCs w:val="20"/>
      </w:rPr>
      <w:t xml:space="preserve">Optional response document | </w:t>
    </w:r>
    <w:sdt>
      <w:sdtPr>
        <w:rPr>
          <w:sz w:val="20"/>
          <w:szCs w:val="20"/>
        </w:rPr>
        <w:id w:val="-1069266762"/>
        <w:docPartObj>
          <w:docPartGallery w:val="Page Numbers (Bottom of Page)"/>
          <w:docPartUnique/>
        </w:docPartObj>
      </w:sdtPr>
      <w:sdtEndPr>
        <w:rPr>
          <w:rFonts w:ascii="Times New Roman" w:hAnsi="Times New Roman" w:cs="Times New Roman"/>
          <w:noProof/>
        </w:rPr>
      </w:sdtEndPr>
      <w:sdtContent>
        <w:r w:rsidR="00CD2B7C" w:rsidRPr="005D1ABD">
          <w:rPr>
            <w:rFonts w:ascii="Times New Roman" w:hAnsi="Times New Roman" w:cs="Times New Roman"/>
            <w:sz w:val="20"/>
            <w:szCs w:val="20"/>
          </w:rPr>
          <w:fldChar w:fldCharType="begin"/>
        </w:r>
        <w:r w:rsidR="00CD2B7C" w:rsidRPr="005D1ABD">
          <w:rPr>
            <w:rFonts w:ascii="Times New Roman" w:hAnsi="Times New Roman" w:cs="Times New Roman"/>
            <w:sz w:val="20"/>
            <w:szCs w:val="20"/>
          </w:rPr>
          <w:instrText xml:space="preserve"> PAGE   \* MERGEFORMAT </w:instrText>
        </w:r>
        <w:r w:rsidR="00CD2B7C" w:rsidRPr="005D1ABD">
          <w:rPr>
            <w:rFonts w:ascii="Times New Roman" w:hAnsi="Times New Roman" w:cs="Times New Roman"/>
            <w:sz w:val="20"/>
            <w:szCs w:val="20"/>
          </w:rPr>
          <w:fldChar w:fldCharType="separate"/>
        </w:r>
        <w:r w:rsidR="00CD2B7C" w:rsidRPr="005D1ABD">
          <w:rPr>
            <w:rFonts w:ascii="Times New Roman" w:hAnsi="Times New Roman" w:cs="Times New Roman"/>
            <w:sz w:val="20"/>
            <w:szCs w:val="20"/>
          </w:rPr>
          <w:t>2</w:t>
        </w:r>
        <w:r w:rsidR="00CD2B7C" w:rsidRPr="005D1ABD">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9104" w14:textId="77777777" w:rsidR="00DD5FED" w:rsidRDefault="00DD5FED">
      <w:pPr>
        <w:spacing w:after="0" w:line="240" w:lineRule="auto"/>
      </w:pPr>
      <w:r>
        <w:separator/>
      </w:r>
    </w:p>
  </w:footnote>
  <w:footnote w:type="continuationSeparator" w:id="0">
    <w:p w14:paraId="3F49421D" w14:textId="77777777" w:rsidR="00DD5FED" w:rsidRDefault="00DD5FED">
      <w:pPr>
        <w:spacing w:after="0" w:line="240" w:lineRule="auto"/>
      </w:pPr>
      <w:r>
        <w:continuationSeparator/>
      </w:r>
    </w:p>
  </w:footnote>
  <w:footnote w:type="continuationNotice" w:id="1">
    <w:p w14:paraId="040D849B" w14:textId="77777777" w:rsidR="00DD5FED" w:rsidRDefault="00DD5F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81" w:vertAnchor="text" w:tblpXSpec="center" w:tblpY="1"/>
      <w:tblOverlap w:val="never"/>
      <w:tblW w:w="8897" w:type="dxa"/>
      <w:jc w:val="center"/>
      <w:tblLayout w:type="fixed"/>
      <w:tblLook w:val="04A0" w:firstRow="1" w:lastRow="0" w:firstColumn="1" w:lastColumn="0" w:noHBand="0" w:noVBand="1"/>
    </w:tblPr>
    <w:tblGrid>
      <w:gridCol w:w="2410"/>
      <w:gridCol w:w="425"/>
      <w:gridCol w:w="1737"/>
      <w:gridCol w:w="248"/>
      <w:gridCol w:w="1914"/>
      <w:gridCol w:w="1488"/>
      <w:gridCol w:w="675"/>
    </w:tblGrid>
    <w:tr w:rsidR="0023483D" w14:paraId="206856FE" w14:textId="77777777" w:rsidTr="00235B38">
      <w:trPr>
        <w:trHeight w:val="410"/>
        <w:jc w:val="center"/>
      </w:trPr>
      <w:tc>
        <w:tcPr>
          <w:tcW w:w="2835" w:type="dxa"/>
          <w:gridSpan w:val="2"/>
          <w:vMerge w:val="restart"/>
          <w:vAlign w:val="center"/>
        </w:tcPr>
        <w:p w14:paraId="5A524416" w14:textId="77777777" w:rsidR="0023483D" w:rsidRDefault="0023483D" w:rsidP="00235B38">
          <w:pPr>
            <w:pStyle w:val="Header"/>
          </w:pPr>
          <w:r>
            <w:rPr>
              <w:noProof/>
              <w:lang w:eastAsia="en-GB"/>
            </w:rPr>
            <w:drawing>
              <wp:anchor distT="0" distB="0" distL="114300" distR="114300" simplePos="0" relativeHeight="251658240" behindDoc="1" locked="0" layoutInCell="1" allowOverlap="1" wp14:anchorId="0B37AE4E" wp14:editId="72268CB2">
                <wp:simplePos x="0" y="0"/>
                <wp:positionH relativeFrom="column">
                  <wp:posOffset>28575</wp:posOffset>
                </wp:positionH>
                <wp:positionV relativeFrom="paragraph">
                  <wp:posOffset>133985</wp:posOffset>
                </wp:positionV>
                <wp:extent cx="1690370" cy="318770"/>
                <wp:effectExtent l="0" t="0" r="5080" b="5080"/>
                <wp:wrapNone/>
                <wp:docPr id="4" name="Picture 4" descr="IFR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gridSpan w:val="2"/>
          <w:vMerge w:val="restart"/>
          <w:vAlign w:val="center"/>
        </w:tcPr>
        <w:p w14:paraId="210ADAA8" w14:textId="77777777" w:rsidR="0023483D" w:rsidRPr="00A67993" w:rsidRDefault="0023483D" w:rsidP="00340F49">
          <w:pPr>
            <w:pStyle w:val="IASBmeetingname"/>
            <w:framePr w:wrap="auto" w:vAnchor="margin" w:xAlign="left" w:yAlign="inline"/>
            <w:suppressOverlap w:val="0"/>
          </w:pPr>
        </w:p>
      </w:tc>
      <w:tc>
        <w:tcPr>
          <w:tcW w:w="3402" w:type="dxa"/>
          <w:gridSpan w:val="2"/>
          <w:tcBorders>
            <w:top w:val="single" w:sz="4" w:space="0" w:color="404040"/>
            <w:bottom w:val="single" w:sz="4" w:space="0" w:color="404040"/>
          </w:tcBorders>
          <w:shd w:val="clear" w:color="auto" w:fill="FFFFFF"/>
          <w:vAlign w:val="center"/>
        </w:tcPr>
        <w:p w14:paraId="387330A1" w14:textId="77777777" w:rsidR="0023483D" w:rsidRPr="00A67993" w:rsidRDefault="0023483D" w:rsidP="00340F49">
          <w:pPr>
            <w:pStyle w:val="IASBTableHeader"/>
            <w:framePr w:wrap="auto" w:vAnchor="margin" w:xAlign="left" w:yAlign="inline"/>
            <w:suppressOverlap w:val="0"/>
            <w:rPr>
              <w:b/>
            </w:rPr>
          </w:pPr>
          <w:r w:rsidRPr="00A67993">
            <w:t>IASB Agenda ref</w:t>
          </w:r>
        </w:p>
      </w:tc>
      <w:tc>
        <w:tcPr>
          <w:tcW w:w="675" w:type="dxa"/>
          <w:tcBorders>
            <w:top w:val="single" w:sz="4" w:space="0" w:color="404040"/>
            <w:bottom w:val="single" w:sz="4" w:space="0" w:color="404040"/>
          </w:tcBorders>
          <w:shd w:val="clear" w:color="auto" w:fill="FFFFFF"/>
          <w:vAlign w:val="center"/>
        </w:tcPr>
        <w:p w14:paraId="361D62E9" w14:textId="77777777" w:rsidR="0023483D" w:rsidRPr="00A92346" w:rsidRDefault="0023483D" w:rsidP="00340F49">
          <w:pPr>
            <w:pStyle w:val="IASBTableHeaderBold"/>
            <w:framePr w:wrap="auto" w:vAnchor="margin" w:xAlign="left" w:yAlign="inline"/>
            <w:suppressOverlap w:val="0"/>
          </w:pPr>
          <w:r>
            <w:t>9B</w:t>
          </w:r>
        </w:p>
      </w:tc>
    </w:tr>
    <w:tr w:rsidR="0023483D" w14:paraId="6FB45B28" w14:textId="77777777" w:rsidTr="00235B38">
      <w:trPr>
        <w:trHeight w:hRule="exact" w:val="615"/>
        <w:jc w:val="center"/>
      </w:trPr>
      <w:tc>
        <w:tcPr>
          <w:tcW w:w="2835" w:type="dxa"/>
          <w:gridSpan w:val="2"/>
          <w:vMerge/>
          <w:vAlign w:val="center"/>
        </w:tcPr>
        <w:p w14:paraId="5DDE19A6" w14:textId="77777777" w:rsidR="0023483D" w:rsidRPr="00A67993" w:rsidRDefault="0023483D" w:rsidP="00235B38">
          <w:pPr>
            <w:pStyle w:val="Header"/>
            <w:rPr>
              <w:rFonts w:eastAsia="MS Mincho"/>
              <w:noProof/>
              <w:color w:val="BFBFBF"/>
              <w:sz w:val="44"/>
              <w:szCs w:val="44"/>
              <w:lang w:eastAsia="en-GB"/>
            </w:rPr>
          </w:pPr>
        </w:p>
      </w:tc>
      <w:tc>
        <w:tcPr>
          <w:tcW w:w="1985" w:type="dxa"/>
          <w:gridSpan w:val="2"/>
          <w:vMerge/>
          <w:shd w:val="clear" w:color="auto" w:fill="FFFFFF"/>
          <w:vAlign w:val="center"/>
        </w:tcPr>
        <w:p w14:paraId="2C8AEB2B" w14:textId="77777777" w:rsidR="0023483D" w:rsidRPr="00134646" w:rsidRDefault="0023483D" w:rsidP="00340F49">
          <w:pPr>
            <w:pStyle w:val="IASBmeetingname"/>
            <w:framePr w:wrap="auto" w:vAnchor="margin" w:xAlign="left" w:yAlign="inline"/>
            <w:suppressOverlap w:val="0"/>
            <w:rPr>
              <w:noProof/>
              <w:lang w:eastAsia="en-GB"/>
            </w:rPr>
          </w:pPr>
        </w:p>
      </w:tc>
      <w:tc>
        <w:tcPr>
          <w:tcW w:w="3402" w:type="dxa"/>
          <w:gridSpan w:val="2"/>
          <w:tcBorders>
            <w:top w:val="single" w:sz="4" w:space="0" w:color="404040"/>
          </w:tcBorders>
          <w:shd w:val="clear" w:color="auto" w:fill="FFFFFF"/>
          <w:vAlign w:val="center"/>
        </w:tcPr>
        <w:p w14:paraId="686C9FBE" w14:textId="77777777" w:rsidR="0023483D" w:rsidRPr="00A67993" w:rsidRDefault="0023483D" w:rsidP="00340F49">
          <w:pPr>
            <w:pStyle w:val="IASBTableHeader"/>
            <w:framePr w:wrap="auto" w:vAnchor="margin" w:xAlign="left" w:yAlign="inline"/>
            <w:suppressOverlap w:val="0"/>
          </w:pPr>
        </w:p>
      </w:tc>
      <w:tc>
        <w:tcPr>
          <w:tcW w:w="675" w:type="dxa"/>
          <w:tcBorders>
            <w:top w:val="single" w:sz="4" w:space="0" w:color="404040"/>
          </w:tcBorders>
          <w:shd w:val="clear" w:color="auto" w:fill="FFFFFF"/>
          <w:vAlign w:val="center"/>
        </w:tcPr>
        <w:p w14:paraId="2A393509" w14:textId="77777777" w:rsidR="0023483D" w:rsidRPr="00A92346" w:rsidRDefault="0023483D" w:rsidP="00340F49">
          <w:pPr>
            <w:pStyle w:val="IASBTableHeaderBold"/>
            <w:framePr w:wrap="auto" w:vAnchor="margin" w:xAlign="left" w:yAlign="inline"/>
            <w:suppressOverlap w:val="0"/>
          </w:pPr>
        </w:p>
      </w:tc>
    </w:tr>
    <w:tr w:rsidR="0023483D" w14:paraId="383BEC92" w14:textId="77777777" w:rsidTr="00235B38">
      <w:trPr>
        <w:trHeight w:hRule="exact" w:val="549"/>
        <w:jc w:val="center"/>
      </w:trPr>
      <w:tc>
        <w:tcPr>
          <w:tcW w:w="4820" w:type="dxa"/>
          <w:gridSpan w:val="4"/>
        </w:tcPr>
        <w:p w14:paraId="7519F2E8" w14:textId="77777777" w:rsidR="0023483D" w:rsidRPr="00A67993" w:rsidRDefault="0023483D" w:rsidP="00340F49">
          <w:pPr>
            <w:pStyle w:val="IASBDocType"/>
            <w:framePr w:wrap="auto" w:vAnchor="margin" w:xAlign="left" w:yAlign="inline"/>
            <w:suppressOverlap w:val="0"/>
          </w:pPr>
          <w:r w:rsidRPr="00A67993">
            <w:t>STAFF PAPER</w:t>
          </w:r>
        </w:p>
      </w:tc>
      <w:tc>
        <w:tcPr>
          <w:tcW w:w="4077" w:type="dxa"/>
          <w:gridSpan w:val="3"/>
          <w:vAlign w:val="center"/>
        </w:tcPr>
        <w:p w14:paraId="7F88A557" w14:textId="77777777" w:rsidR="0023483D" w:rsidRPr="00A67993" w:rsidRDefault="0023483D" w:rsidP="00340F49">
          <w:pPr>
            <w:pStyle w:val="IASBTableHeaderBold"/>
            <w:framePr w:wrap="auto" w:vAnchor="margin" w:xAlign="left" w:yAlign="inline"/>
            <w:suppressOverlap w:val="0"/>
            <w:rPr>
              <w:sz w:val="44"/>
              <w:szCs w:val="44"/>
            </w:rPr>
          </w:pPr>
          <w:r>
            <w:t>11-15 June</w:t>
          </w:r>
          <w:r w:rsidRPr="00A67993">
            <w:t xml:space="preserve"> 2012 </w:t>
          </w:r>
        </w:p>
      </w:tc>
    </w:tr>
    <w:tr w:rsidR="0023483D" w14:paraId="338ABD02" w14:textId="77777777" w:rsidTr="00235B38">
      <w:trPr>
        <w:trHeight w:hRule="exact" w:val="569"/>
        <w:jc w:val="center"/>
      </w:trPr>
      <w:tc>
        <w:tcPr>
          <w:tcW w:w="4820" w:type="dxa"/>
          <w:gridSpan w:val="4"/>
          <w:tcBorders>
            <w:bottom w:val="single" w:sz="4" w:space="0" w:color="595959"/>
          </w:tcBorders>
          <w:vAlign w:val="center"/>
        </w:tcPr>
        <w:p w14:paraId="6DEF8184" w14:textId="77777777" w:rsidR="0023483D" w:rsidRPr="00A67993" w:rsidRDefault="0023483D" w:rsidP="00340F49">
          <w:pPr>
            <w:pStyle w:val="IASBmeetingname"/>
            <w:framePr w:wrap="auto" w:vAnchor="margin" w:xAlign="left" w:yAlign="inline"/>
            <w:suppressOverlap w:val="0"/>
            <w:rPr>
              <w:color w:val="595959"/>
            </w:rPr>
          </w:pPr>
          <w:r w:rsidRPr="00A67993">
            <w:rPr>
              <w:rStyle w:val="Heading1Char"/>
            </w:rPr>
            <w:t>IASB Meeting</w:t>
          </w:r>
        </w:p>
      </w:tc>
      <w:tc>
        <w:tcPr>
          <w:tcW w:w="4077" w:type="dxa"/>
          <w:gridSpan w:val="3"/>
          <w:tcBorders>
            <w:bottom w:val="single" w:sz="4" w:space="0" w:color="595959"/>
          </w:tcBorders>
          <w:vAlign w:val="center"/>
        </w:tcPr>
        <w:p w14:paraId="1848950C" w14:textId="77777777" w:rsidR="0023483D" w:rsidRPr="00A67993" w:rsidRDefault="0023483D" w:rsidP="00235B38">
          <w:pPr>
            <w:pStyle w:val="IASBTableHeaderContact2"/>
            <w:framePr w:hSpace="0" w:wrap="auto" w:vAnchor="margin" w:xAlign="left" w:yAlign="inline"/>
            <w:suppressOverlap w:val="0"/>
          </w:pPr>
        </w:p>
      </w:tc>
    </w:tr>
    <w:tr w:rsidR="0023483D" w14:paraId="16015C19" w14:textId="77777777" w:rsidTr="00235B38">
      <w:trPr>
        <w:jc w:val="center"/>
      </w:trPr>
      <w:tc>
        <w:tcPr>
          <w:tcW w:w="2410" w:type="dxa"/>
          <w:tcBorders>
            <w:top w:val="single" w:sz="4" w:space="0" w:color="595959"/>
            <w:bottom w:val="single" w:sz="4" w:space="0" w:color="595959"/>
          </w:tcBorders>
          <w:shd w:val="clear" w:color="auto" w:fill="D9D9D9"/>
          <w:vAlign w:val="center"/>
        </w:tcPr>
        <w:p w14:paraId="6C81D2C9" w14:textId="77777777" w:rsidR="0023483D" w:rsidRPr="00A67993" w:rsidRDefault="0023483D" w:rsidP="00340F49">
          <w:pPr>
            <w:pStyle w:val="IASBmeetingname"/>
            <w:framePr w:wrap="auto" w:vAnchor="margin" w:xAlign="left" w:yAlign="inline"/>
            <w:suppressOverlap w:val="0"/>
            <w:rPr>
              <w:rStyle w:val="Heading1Char"/>
            </w:rPr>
          </w:pPr>
          <w:r w:rsidRPr="009D0E4C">
            <w:t>Project</w:t>
          </w:r>
        </w:p>
      </w:tc>
      <w:tc>
        <w:tcPr>
          <w:tcW w:w="6487" w:type="dxa"/>
          <w:gridSpan w:val="6"/>
          <w:tcBorders>
            <w:top w:val="single" w:sz="4" w:space="0" w:color="595959"/>
            <w:bottom w:val="single" w:sz="4" w:space="0" w:color="595959"/>
          </w:tcBorders>
          <w:shd w:val="clear" w:color="auto" w:fill="D9D9D9"/>
          <w:vAlign w:val="center"/>
        </w:tcPr>
        <w:p w14:paraId="4B8059C9" w14:textId="77777777" w:rsidR="0023483D" w:rsidRPr="00A67993" w:rsidRDefault="0023483D" w:rsidP="00235B38">
          <w:pPr>
            <w:pStyle w:val="IASBTableHeaderContact"/>
            <w:framePr w:hSpace="0" w:wrap="auto" w:vAnchor="margin" w:xAlign="left" w:yAlign="inline"/>
            <w:spacing w:before="60" w:after="60"/>
            <w:suppressOverlap w:val="0"/>
            <w:rPr>
              <w:b/>
              <w:sz w:val="24"/>
              <w:szCs w:val="24"/>
            </w:rPr>
          </w:pPr>
          <w:r w:rsidRPr="00445452">
            <w:rPr>
              <w:sz w:val="24"/>
              <w:szCs w:val="24"/>
            </w:rPr>
            <w:t>International Financial Reporting Standard for Small and Medium-sized Entities (IFRS for SMEs)</w:t>
          </w:r>
        </w:p>
      </w:tc>
    </w:tr>
    <w:tr w:rsidR="0023483D" w14:paraId="37FF276C" w14:textId="77777777" w:rsidTr="00235B38">
      <w:trPr>
        <w:trHeight w:hRule="exact" w:val="432"/>
        <w:jc w:val="center"/>
      </w:trPr>
      <w:tc>
        <w:tcPr>
          <w:tcW w:w="2410" w:type="dxa"/>
          <w:tcBorders>
            <w:top w:val="single" w:sz="4" w:space="0" w:color="595959"/>
            <w:bottom w:val="single" w:sz="4" w:space="0" w:color="595959"/>
          </w:tcBorders>
          <w:shd w:val="clear" w:color="auto" w:fill="D9D9D9"/>
          <w:vAlign w:val="center"/>
        </w:tcPr>
        <w:p w14:paraId="4D36EA05" w14:textId="77777777" w:rsidR="0023483D" w:rsidRPr="00A67993" w:rsidRDefault="0023483D" w:rsidP="00340F49">
          <w:pPr>
            <w:pStyle w:val="IASBmeetingname"/>
            <w:framePr w:wrap="auto" w:vAnchor="margin" w:xAlign="left" w:yAlign="inline"/>
            <w:suppressOverlap w:val="0"/>
            <w:rPr>
              <w:rStyle w:val="Heading1Char"/>
            </w:rPr>
          </w:pPr>
          <w:r w:rsidRPr="00A67993">
            <w:t>Paper topic</w:t>
          </w:r>
        </w:p>
      </w:tc>
      <w:tc>
        <w:tcPr>
          <w:tcW w:w="6487" w:type="dxa"/>
          <w:gridSpan w:val="6"/>
          <w:tcBorders>
            <w:top w:val="single" w:sz="4" w:space="0" w:color="595959"/>
            <w:bottom w:val="single" w:sz="4" w:space="0" w:color="595959"/>
          </w:tcBorders>
          <w:shd w:val="clear" w:color="auto" w:fill="D9D9D9"/>
          <w:vAlign w:val="center"/>
        </w:tcPr>
        <w:p w14:paraId="4EBCB1D5" w14:textId="77777777" w:rsidR="0023483D" w:rsidRPr="00A67993" w:rsidRDefault="0023483D" w:rsidP="00320B52">
          <w:pPr>
            <w:pStyle w:val="IASBTableHeaderContact"/>
            <w:framePr w:hSpace="0" w:wrap="auto" w:vAnchor="margin" w:xAlign="left" w:yAlign="inline"/>
            <w:spacing w:before="60" w:after="60"/>
            <w:suppressOverlap w:val="0"/>
            <w:rPr>
              <w:sz w:val="24"/>
              <w:szCs w:val="24"/>
            </w:rPr>
          </w:pPr>
          <w:r>
            <w:rPr>
              <w:sz w:val="24"/>
              <w:szCs w:val="24"/>
            </w:rPr>
            <w:t xml:space="preserve">Optional Response Document </w:t>
          </w:r>
        </w:p>
      </w:tc>
    </w:tr>
    <w:tr w:rsidR="0023483D" w14:paraId="28FCE986" w14:textId="77777777" w:rsidTr="00235B38">
      <w:trPr>
        <w:trHeight w:val="285"/>
        <w:jc w:val="center"/>
      </w:trPr>
      <w:tc>
        <w:tcPr>
          <w:tcW w:w="2410" w:type="dxa"/>
          <w:tcBorders>
            <w:top w:val="single" w:sz="4" w:space="0" w:color="595959"/>
          </w:tcBorders>
        </w:tcPr>
        <w:p w14:paraId="52983B6A" w14:textId="77777777" w:rsidR="0023483D" w:rsidRPr="00A67993" w:rsidRDefault="0023483D" w:rsidP="00340F49">
          <w:pPr>
            <w:pStyle w:val="IASBmeetingname"/>
            <w:framePr w:wrap="auto" w:vAnchor="margin" w:xAlign="left" w:yAlign="inline"/>
            <w:suppressOverlap w:val="0"/>
            <w:rPr>
              <w:rStyle w:val="Heading1Char"/>
              <w:sz w:val="18"/>
              <w:szCs w:val="18"/>
            </w:rPr>
          </w:pPr>
          <w:r w:rsidRPr="00A67993">
            <w:t>CONTACT(S)</w:t>
          </w:r>
        </w:p>
      </w:tc>
      <w:tc>
        <w:tcPr>
          <w:tcW w:w="2162" w:type="dxa"/>
          <w:gridSpan w:val="2"/>
          <w:tcBorders>
            <w:top w:val="single" w:sz="4" w:space="0" w:color="595959"/>
          </w:tcBorders>
        </w:tcPr>
        <w:p w14:paraId="352C41E7" w14:textId="77777777" w:rsidR="0023483D" w:rsidRPr="00E94E95" w:rsidRDefault="0023483D" w:rsidP="00235B38">
          <w:pPr>
            <w:pStyle w:val="IASBTableHeaderContact2"/>
            <w:framePr w:hSpace="0" w:wrap="auto" w:vAnchor="margin" w:xAlign="left" w:yAlign="inline"/>
            <w:suppressOverlap w:val="0"/>
          </w:pPr>
          <w:r>
            <w:t>Paul Pacter (Board Advisor)</w:t>
          </w:r>
        </w:p>
      </w:tc>
      <w:tc>
        <w:tcPr>
          <w:tcW w:w="2162" w:type="dxa"/>
          <w:gridSpan w:val="2"/>
          <w:tcBorders>
            <w:top w:val="single" w:sz="4" w:space="0" w:color="595959"/>
          </w:tcBorders>
          <w:vAlign w:val="center"/>
        </w:tcPr>
        <w:p w14:paraId="7DE90013" w14:textId="77777777" w:rsidR="0023483D" w:rsidRPr="00F82FB2" w:rsidRDefault="00220A48" w:rsidP="00235B38">
          <w:pPr>
            <w:pStyle w:val="boardpapercontact"/>
            <w:ind w:left="0"/>
          </w:pPr>
          <w:hyperlink r:id="rId2" w:history="1">
            <w:r w:rsidR="0023483D" w:rsidRPr="00F82FB2">
              <w:rPr>
                <w:rStyle w:val="Hyperlink"/>
              </w:rPr>
              <w:t>ppacter@ifrs.org</w:t>
            </w:r>
          </w:hyperlink>
        </w:p>
      </w:tc>
      <w:tc>
        <w:tcPr>
          <w:tcW w:w="2163" w:type="dxa"/>
          <w:gridSpan w:val="2"/>
          <w:tcBorders>
            <w:top w:val="single" w:sz="4" w:space="0" w:color="595959"/>
          </w:tcBorders>
          <w:vAlign w:val="center"/>
        </w:tcPr>
        <w:p w14:paraId="6EB4CBD7" w14:textId="77777777" w:rsidR="0023483D" w:rsidRPr="000C207A" w:rsidRDefault="0023483D" w:rsidP="00235B38">
          <w:pPr>
            <w:pStyle w:val="boardpapercontact"/>
            <w:ind w:left="0"/>
            <w:rPr>
              <w:noProof/>
              <w:color w:val="5F6062"/>
            </w:rPr>
          </w:pPr>
          <w:r>
            <w:rPr>
              <w:noProof/>
              <w:color w:val="5F6062"/>
            </w:rPr>
            <w:t>+44 (0) 20 7246 6427</w:t>
          </w:r>
        </w:p>
      </w:tc>
    </w:tr>
    <w:tr w:rsidR="0023483D" w14:paraId="38FDADBA" w14:textId="77777777" w:rsidTr="00235B38">
      <w:trPr>
        <w:trHeight w:val="262"/>
        <w:jc w:val="center"/>
      </w:trPr>
      <w:tc>
        <w:tcPr>
          <w:tcW w:w="2410" w:type="dxa"/>
          <w:vAlign w:val="center"/>
        </w:tcPr>
        <w:p w14:paraId="09977B3F" w14:textId="77777777" w:rsidR="0023483D" w:rsidRPr="00A67993" w:rsidRDefault="0023483D" w:rsidP="00340F49">
          <w:pPr>
            <w:pStyle w:val="IASBmeetingname"/>
            <w:framePr w:wrap="auto" w:vAnchor="margin" w:xAlign="left" w:yAlign="inline"/>
            <w:suppressOverlap w:val="0"/>
          </w:pPr>
        </w:p>
      </w:tc>
      <w:tc>
        <w:tcPr>
          <w:tcW w:w="2162" w:type="dxa"/>
          <w:gridSpan w:val="2"/>
        </w:tcPr>
        <w:p w14:paraId="135FD0E5" w14:textId="77777777" w:rsidR="0023483D" w:rsidRPr="00E94E95" w:rsidRDefault="0023483D" w:rsidP="00235B38">
          <w:pPr>
            <w:pStyle w:val="IASBTableHeaderContact2"/>
            <w:framePr w:hSpace="0" w:wrap="auto" w:vAnchor="margin" w:xAlign="left" w:yAlign="inline"/>
            <w:suppressOverlap w:val="0"/>
          </w:pPr>
          <w:r>
            <w:t>Michelle Fisher</w:t>
          </w:r>
        </w:p>
      </w:tc>
      <w:tc>
        <w:tcPr>
          <w:tcW w:w="2162" w:type="dxa"/>
          <w:gridSpan w:val="2"/>
        </w:tcPr>
        <w:p w14:paraId="5DDD8CB9" w14:textId="77777777" w:rsidR="0023483D" w:rsidRPr="00E94E95" w:rsidRDefault="00220A48" w:rsidP="00235B38">
          <w:pPr>
            <w:pStyle w:val="IASBTableHeaderContact2"/>
            <w:framePr w:hSpace="0" w:wrap="auto" w:vAnchor="margin" w:xAlign="left" w:yAlign="inline"/>
            <w:suppressOverlap w:val="0"/>
          </w:pPr>
          <w:hyperlink r:id="rId3" w:history="1">
            <w:r w:rsidR="0023483D" w:rsidRPr="008D141E">
              <w:rPr>
                <w:rStyle w:val="Hyperlink"/>
              </w:rPr>
              <w:t>mfisher@ifrs.org</w:t>
            </w:r>
          </w:hyperlink>
        </w:p>
      </w:tc>
      <w:tc>
        <w:tcPr>
          <w:tcW w:w="2163" w:type="dxa"/>
          <w:gridSpan w:val="2"/>
        </w:tcPr>
        <w:p w14:paraId="176C8381" w14:textId="77777777" w:rsidR="0023483D" w:rsidRPr="00E94E95" w:rsidRDefault="0023483D" w:rsidP="00235B38">
          <w:pPr>
            <w:pStyle w:val="IASBTableHeaderContact2"/>
            <w:framePr w:hSpace="0" w:wrap="auto" w:vAnchor="margin" w:xAlign="left" w:yAlign="inline"/>
            <w:suppressOverlap w:val="0"/>
          </w:pPr>
          <w:r w:rsidRPr="00E94E95">
            <w:t>+</w:t>
          </w:r>
          <w:r w:rsidRPr="00F82FB2">
            <w:rPr>
              <w:noProof/>
              <w:color w:val="5F6062"/>
            </w:rPr>
            <w:t>44 (0) 20 7246 6410</w:t>
          </w:r>
        </w:p>
      </w:tc>
    </w:tr>
    <w:tr w:rsidR="0023483D" w14:paraId="1D524E31" w14:textId="77777777" w:rsidTr="00235B38">
      <w:trPr>
        <w:trHeight w:val="804"/>
        <w:jc w:val="center"/>
      </w:trPr>
      <w:tc>
        <w:tcPr>
          <w:tcW w:w="8897" w:type="dxa"/>
          <w:gridSpan w:val="7"/>
          <w:tcBorders>
            <w:top w:val="single" w:sz="4" w:space="0" w:color="auto"/>
            <w:bottom w:val="single" w:sz="4" w:space="0" w:color="auto"/>
          </w:tcBorders>
          <w:vAlign w:val="center"/>
        </w:tcPr>
        <w:p w14:paraId="76FE8572" w14:textId="77777777" w:rsidR="0023483D" w:rsidRPr="00A67993" w:rsidRDefault="0023483D" w:rsidP="00235B38">
          <w:pPr>
            <w:pStyle w:val="IASBTableHeaderContact"/>
            <w:framePr w:hSpace="0" w:wrap="auto" w:vAnchor="margin" w:xAlign="left" w:yAlign="inline"/>
            <w:spacing w:before="0"/>
            <w:suppressOverlap w:val="0"/>
          </w:pPr>
          <w:r w:rsidRPr="00A67993">
            <w:t xml:space="preserve">This paper has been prepared by the staff of the IFRS Foundation for discussion at a public meeting of the IASB.  It does not purport to represent the views of any individual members of either board.  Comments on the application of IFRSs do not purport to set out acceptable or unacceptable application of IFRSs.  The IASB report their decisions made at public meetings in IASB </w:t>
          </w:r>
          <w:r w:rsidRPr="00A67993">
            <w:rPr>
              <w:i/>
            </w:rPr>
            <w:t>Update</w:t>
          </w:r>
          <w:r w:rsidRPr="00A67993">
            <w:t xml:space="preserve">.  </w:t>
          </w:r>
        </w:p>
      </w:tc>
    </w:tr>
  </w:tbl>
  <w:p w14:paraId="798E774D" w14:textId="77777777" w:rsidR="0023483D" w:rsidRDefault="0023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C8D4" w14:textId="15743970" w:rsidR="008A36E0" w:rsidRDefault="008A3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8AB"/>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1" w15:restartNumberingAfterBreak="0">
    <w:nsid w:val="00F01DC7"/>
    <w:multiLevelType w:val="hybridMultilevel"/>
    <w:tmpl w:val="7B60723C"/>
    <w:lvl w:ilvl="0" w:tplc="09FA1ED8">
      <w:start w:val="1"/>
      <w:numFmt w:val="lowerLetter"/>
      <w:lvlText w:val="(%1)"/>
      <w:lvlJc w:val="left"/>
      <w:pPr>
        <w:ind w:left="862" w:hanging="360"/>
      </w:pPr>
      <w:rPr>
        <w:rFonts w:hint="default"/>
        <w:b/>
        <w:bCs/>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B43D4C"/>
    <w:multiLevelType w:val="hybridMultilevel"/>
    <w:tmpl w:val="15CED5A4"/>
    <w:lvl w:ilvl="0" w:tplc="40EC1D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04555"/>
    <w:multiLevelType w:val="hybridMultilevel"/>
    <w:tmpl w:val="E850C236"/>
    <w:lvl w:ilvl="0" w:tplc="1FA8E422">
      <w:start w:val="1"/>
      <w:numFmt w:val="lowerLetter"/>
      <w:lvlText w:val="(%1)"/>
      <w:lvlJc w:val="left"/>
      <w:pPr>
        <w:ind w:left="191" w:hanging="360"/>
      </w:pPr>
      <w:rPr>
        <w:rFonts w:hint="default"/>
        <w:b w:val="0"/>
        <w:i w:val="0"/>
        <w:iCs w:val="0"/>
      </w:rPr>
    </w:lvl>
    <w:lvl w:ilvl="1" w:tplc="08090019" w:tentative="1">
      <w:start w:val="1"/>
      <w:numFmt w:val="lowerLetter"/>
      <w:lvlText w:val="%2."/>
      <w:lvlJc w:val="left"/>
      <w:pPr>
        <w:ind w:left="911" w:hanging="360"/>
      </w:pPr>
    </w:lvl>
    <w:lvl w:ilvl="2" w:tplc="0809001B" w:tentative="1">
      <w:start w:val="1"/>
      <w:numFmt w:val="lowerRoman"/>
      <w:lvlText w:val="%3."/>
      <w:lvlJc w:val="right"/>
      <w:pPr>
        <w:ind w:left="1631" w:hanging="180"/>
      </w:pPr>
    </w:lvl>
    <w:lvl w:ilvl="3" w:tplc="0809000F" w:tentative="1">
      <w:start w:val="1"/>
      <w:numFmt w:val="decimal"/>
      <w:lvlText w:val="%4."/>
      <w:lvlJc w:val="left"/>
      <w:pPr>
        <w:ind w:left="2351" w:hanging="360"/>
      </w:pPr>
    </w:lvl>
    <w:lvl w:ilvl="4" w:tplc="08090019" w:tentative="1">
      <w:start w:val="1"/>
      <w:numFmt w:val="lowerLetter"/>
      <w:lvlText w:val="%5."/>
      <w:lvlJc w:val="left"/>
      <w:pPr>
        <w:ind w:left="3071" w:hanging="360"/>
      </w:pPr>
    </w:lvl>
    <w:lvl w:ilvl="5" w:tplc="0809001B" w:tentative="1">
      <w:start w:val="1"/>
      <w:numFmt w:val="lowerRoman"/>
      <w:lvlText w:val="%6."/>
      <w:lvlJc w:val="right"/>
      <w:pPr>
        <w:ind w:left="3791" w:hanging="180"/>
      </w:pPr>
    </w:lvl>
    <w:lvl w:ilvl="6" w:tplc="0809000F" w:tentative="1">
      <w:start w:val="1"/>
      <w:numFmt w:val="decimal"/>
      <w:lvlText w:val="%7."/>
      <w:lvlJc w:val="left"/>
      <w:pPr>
        <w:ind w:left="4511" w:hanging="360"/>
      </w:pPr>
    </w:lvl>
    <w:lvl w:ilvl="7" w:tplc="08090019" w:tentative="1">
      <w:start w:val="1"/>
      <w:numFmt w:val="lowerLetter"/>
      <w:lvlText w:val="%8."/>
      <w:lvlJc w:val="left"/>
      <w:pPr>
        <w:ind w:left="5231" w:hanging="360"/>
      </w:pPr>
    </w:lvl>
    <w:lvl w:ilvl="8" w:tplc="0809001B" w:tentative="1">
      <w:start w:val="1"/>
      <w:numFmt w:val="lowerRoman"/>
      <w:lvlText w:val="%9."/>
      <w:lvlJc w:val="right"/>
      <w:pPr>
        <w:ind w:left="5951" w:hanging="180"/>
      </w:pPr>
    </w:lvl>
  </w:abstractNum>
  <w:abstractNum w:abstractNumId="4" w15:restartNumberingAfterBreak="0">
    <w:nsid w:val="051D524D"/>
    <w:multiLevelType w:val="hybridMultilevel"/>
    <w:tmpl w:val="7A8609BE"/>
    <w:lvl w:ilvl="0" w:tplc="0D1C3216">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70CD7"/>
    <w:multiLevelType w:val="hybridMultilevel"/>
    <w:tmpl w:val="36F0F26C"/>
    <w:lvl w:ilvl="0" w:tplc="9D1CB2B0">
      <w:start w:val="1"/>
      <w:numFmt w:val="lowerLetter"/>
      <w:lvlText w:val="(%1)"/>
      <w:lvlJc w:val="left"/>
      <w:pPr>
        <w:ind w:left="862" w:hanging="360"/>
      </w:pPr>
      <w:rPr>
        <w:rFonts w:hint="default"/>
        <w:b w:val="0"/>
        <w:bCs w:val="0"/>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0878189B"/>
    <w:multiLevelType w:val="hybridMultilevel"/>
    <w:tmpl w:val="813668E6"/>
    <w:lvl w:ilvl="0" w:tplc="9594B544">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AA3115"/>
    <w:multiLevelType w:val="hybridMultilevel"/>
    <w:tmpl w:val="E5C69C6C"/>
    <w:lvl w:ilvl="0" w:tplc="410CFA74">
      <w:start w:val="1"/>
      <w:numFmt w:val="lowerLetter"/>
      <w:lvlText w:val="(%1)"/>
      <w:lvlJc w:val="left"/>
      <w:pPr>
        <w:ind w:left="279" w:hanging="360"/>
      </w:pPr>
      <w:rPr>
        <w:rFonts w:hint="default"/>
        <w:b/>
      </w:rPr>
    </w:lvl>
    <w:lvl w:ilvl="1" w:tplc="08090019" w:tentative="1">
      <w:start w:val="1"/>
      <w:numFmt w:val="lowerLetter"/>
      <w:lvlText w:val="%2."/>
      <w:lvlJc w:val="left"/>
      <w:pPr>
        <w:ind w:left="999" w:hanging="360"/>
      </w:pPr>
    </w:lvl>
    <w:lvl w:ilvl="2" w:tplc="0809001B" w:tentative="1">
      <w:start w:val="1"/>
      <w:numFmt w:val="lowerRoman"/>
      <w:lvlText w:val="%3."/>
      <w:lvlJc w:val="right"/>
      <w:pPr>
        <w:ind w:left="1719" w:hanging="180"/>
      </w:pPr>
    </w:lvl>
    <w:lvl w:ilvl="3" w:tplc="0809000F" w:tentative="1">
      <w:start w:val="1"/>
      <w:numFmt w:val="decimal"/>
      <w:lvlText w:val="%4."/>
      <w:lvlJc w:val="left"/>
      <w:pPr>
        <w:ind w:left="2439" w:hanging="360"/>
      </w:pPr>
    </w:lvl>
    <w:lvl w:ilvl="4" w:tplc="08090019" w:tentative="1">
      <w:start w:val="1"/>
      <w:numFmt w:val="lowerLetter"/>
      <w:lvlText w:val="%5."/>
      <w:lvlJc w:val="left"/>
      <w:pPr>
        <w:ind w:left="3159" w:hanging="360"/>
      </w:pPr>
    </w:lvl>
    <w:lvl w:ilvl="5" w:tplc="0809001B" w:tentative="1">
      <w:start w:val="1"/>
      <w:numFmt w:val="lowerRoman"/>
      <w:lvlText w:val="%6."/>
      <w:lvlJc w:val="right"/>
      <w:pPr>
        <w:ind w:left="3879" w:hanging="180"/>
      </w:pPr>
    </w:lvl>
    <w:lvl w:ilvl="6" w:tplc="0809000F" w:tentative="1">
      <w:start w:val="1"/>
      <w:numFmt w:val="decimal"/>
      <w:lvlText w:val="%7."/>
      <w:lvlJc w:val="left"/>
      <w:pPr>
        <w:ind w:left="4599" w:hanging="360"/>
      </w:pPr>
    </w:lvl>
    <w:lvl w:ilvl="7" w:tplc="08090019" w:tentative="1">
      <w:start w:val="1"/>
      <w:numFmt w:val="lowerLetter"/>
      <w:lvlText w:val="%8."/>
      <w:lvlJc w:val="left"/>
      <w:pPr>
        <w:ind w:left="5319" w:hanging="360"/>
      </w:pPr>
    </w:lvl>
    <w:lvl w:ilvl="8" w:tplc="0809001B" w:tentative="1">
      <w:start w:val="1"/>
      <w:numFmt w:val="lowerRoman"/>
      <w:lvlText w:val="%9."/>
      <w:lvlJc w:val="right"/>
      <w:pPr>
        <w:ind w:left="6039" w:hanging="180"/>
      </w:pPr>
    </w:lvl>
  </w:abstractNum>
  <w:abstractNum w:abstractNumId="8" w15:restartNumberingAfterBreak="0">
    <w:nsid w:val="0DEB1A3A"/>
    <w:multiLevelType w:val="hybridMultilevel"/>
    <w:tmpl w:val="8F703130"/>
    <w:lvl w:ilvl="0" w:tplc="B4ACDE94">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9" w15:restartNumberingAfterBreak="0">
    <w:nsid w:val="17747BE4"/>
    <w:multiLevelType w:val="hybridMultilevel"/>
    <w:tmpl w:val="39E6ACEE"/>
    <w:lvl w:ilvl="0" w:tplc="9A56664E">
      <w:start w:val="1"/>
      <w:numFmt w:val="lowerLetter"/>
      <w:lvlText w:val="(%1)"/>
      <w:lvlJc w:val="left"/>
      <w:pPr>
        <w:ind w:left="1030" w:hanging="623"/>
      </w:pPr>
      <w:rPr>
        <w:rFonts w:ascii="Times New Roman" w:hAnsi="Times New Roman" w:cs="Times New Roman" w:hint="default"/>
        <w:b/>
        <w:bCs w:val="0"/>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1A61290D"/>
    <w:multiLevelType w:val="hybridMultilevel"/>
    <w:tmpl w:val="7B6433B4"/>
    <w:lvl w:ilvl="0" w:tplc="F25C680C">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972894"/>
    <w:multiLevelType w:val="multilevel"/>
    <w:tmpl w:val="FEB89494"/>
    <w:lvl w:ilvl="0">
      <w:start w:val="1"/>
      <w:numFmt w:val="decimal"/>
      <w:pStyle w:val="Normalboardtext"/>
      <w:lvlText w:val="%1."/>
      <w:lvlJc w:val="left"/>
      <w:pPr>
        <w:tabs>
          <w:tab w:val="num" w:pos="680"/>
        </w:tabs>
        <w:ind w:left="680" w:hanging="567"/>
      </w:pPr>
      <w:rPr>
        <w:rFonts w:hint="default"/>
        <w:i w:val="0"/>
      </w:rPr>
    </w:lvl>
    <w:lvl w:ilvl="1">
      <w:start w:val="1"/>
      <w:numFmt w:val="lowerLetter"/>
      <w:pStyle w:val="Boardpaperlevel2"/>
      <w:lvlText w:val="(%2)"/>
      <w:lvlJc w:val="left"/>
      <w:pPr>
        <w:tabs>
          <w:tab w:val="num" w:pos="1247"/>
        </w:tabs>
        <w:ind w:left="1247" w:hanging="567"/>
      </w:pPr>
      <w:rPr>
        <w:rFonts w:hint="default"/>
      </w:rPr>
    </w:lvl>
    <w:lvl w:ilvl="2">
      <w:start w:val="1"/>
      <w:numFmt w:val="lowerRoman"/>
      <w:pStyle w:val="Boardpaperlevel3"/>
      <w:lvlText w:val="(%3)"/>
      <w:lvlJc w:val="left"/>
      <w:pPr>
        <w:tabs>
          <w:tab w:val="num" w:pos="1985"/>
        </w:tabs>
        <w:ind w:left="1985" w:hanging="567"/>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12" w15:restartNumberingAfterBreak="0">
    <w:nsid w:val="1F2E53CC"/>
    <w:multiLevelType w:val="multilevel"/>
    <w:tmpl w:val="516AC1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785869"/>
    <w:multiLevelType w:val="hybridMultilevel"/>
    <w:tmpl w:val="D11A664C"/>
    <w:lvl w:ilvl="0" w:tplc="D598B2D6">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D267B3"/>
    <w:multiLevelType w:val="hybridMultilevel"/>
    <w:tmpl w:val="A116528A"/>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right"/>
      <w:pPr>
        <w:ind w:left="1069" w:hanging="360"/>
      </w:pPr>
      <w:rPr>
        <w:rFonts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15" w15:restartNumberingAfterBreak="0">
    <w:nsid w:val="27D4289D"/>
    <w:multiLevelType w:val="hybridMultilevel"/>
    <w:tmpl w:val="06A440B4"/>
    <w:lvl w:ilvl="0" w:tplc="8E3C06BC">
      <w:start w:val="1"/>
      <w:numFmt w:val="lowerLetter"/>
      <w:lvlText w:val="(%1)"/>
      <w:lvlJc w:val="left"/>
      <w:pPr>
        <w:ind w:left="517" w:hanging="360"/>
      </w:pPr>
      <w:rPr>
        <w:rFonts w:hint="default"/>
        <w:i w:val="0"/>
        <w:iCs w:val="0"/>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16" w15:restartNumberingAfterBreak="0">
    <w:nsid w:val="2FA808BE"/>
    <w:multiLevelType w:val="hybridMultilevel"/>
    <w:tmpl w:val="05224488"/>
    <w:numStyleLink w:val="Mainnumberingstyle"/>
  </w:abstractNum>
  <w:abstractNum w:abstractNumId="17" w15:restartNumberingAfterBreak="0">
    <w:nsid w:val="32E71735"/>
    <w:multiLevelType w:val="hybridMultilevel"/>
    <w:tmpl w:val="0734A72C"/>
    <w:lvl w:ilvl="0" w:tplc="2188EAD8">
      <w:start w:val="1"/>
      <w:numFmt w:val="lowerLetter"/>
      <w:lvlText w:val="(%1)"/>
      <w:lvlJc w:val="lef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BF437E"/>
    <w:multiLevelType w:val="hybridMultilevel"/>
    <w:tmpl w:val="668A2E08"/>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2D25612">
      <w:start w:val="1"/>
      <w:numFmt w:val="lowerRoman"/>
      <w:lvlText w:val="(%2)"/>
      <w:lvlJc w:val="left"/>
      <w:pPr>
        <w:ind w:left="1069" w:hanging="360"/>
      </w:pPr>
      <w:rPr>
        <w:rFonts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19" w15:restartNumberingAfterBreak="0">
    <w:nsid w:val="3D35570B"/>
    <w:multiLevelType w:val="multilevel"/>
    <w:tmpl w:val="92180AD4"/>
    <w:lvl w:ilvl="0">
      <w:start w:val="1"/>
      <w:numFmt w:val="lowerLetter"/>
      <w:lvlText w:val="(%1)"/>
      <w:lvlJc w:val="left"/>
      <w:pPr>
        <w:tabs>
          <w:tab w:val="num" w:pos="621"/>
        </w:tabs>
        <w:ind w:left="621" w:hanging="360"/>
      </w:pPr>
      <w:rPr>
        <w:rFonts w:hint="default"/>
        <w:i w:val="0"/>
        <w:iCs w:val="0"/>
      </w:rPr>
    </w:lvl>
    <w:lvl w:ilvl="1">
      <w:start w:val="1"/>
      <w:numFmt w:val="bullet"/>
      <w:lvlText w:val=""/>
      <w:lvlJc w:val="left"/>
      <w:pPr>
        <w:tabs>
          <w:tab w:val="num" w:pos="1341"/>
        </w:tabs>
        <w:ind w:left="1341" w:hanging="360"/>
      </w:pPr>
      <w:rPr>
        <w:rFonts w:ascii="Symbol" w:hAnsi="Symbol" w:hint="default"/>
      </w:rPr>
    </w:lvl>
    <w:lvl w:ilvl="2" w:tentative="1">
      <w:start w:val="1"/>
      <w:numFmt w:val="lowerLetter"/>
      <w:lvlText w:val="%3."/>
      <w:lvlJc w:val="left"/>
      <w:pPr>
        <w:tabs>
          <w:tab w:val="num" w:pos="2061"/>
        </w:tabs>
        <w:ind w:left="2061" w:hanging="360"/>
      </w:pPr>
    </w:lvl>
    <w:lvl w:ilvl="3" w:tentative="1">
      <w:start w:val="1"/>
      <w:numFmt w:val="lowerLetter"/>
      <w:lvlText w:val="%4."/>
      <w:lvlJc w:val="left"/>
      <w:pPr>
        <w:tabs>
          <w:tab w:val="num" w:pos="2781"/>
        </w:tabs>
        <w:ind w:left="2781" w:hanging="360"/>
      </w:pPr>
    </w:lvl>
    <w:lvl w:ilvl="4" w:tentative="1">
      <w:start w:val="1"/>
      <w:numFmt w:val="lowerLetter"/>
      <w:lvlText w:val="%5."/>
      <w:lvlJc w:val="left"/>
      <w:pPr>
        <w:tabs>
          <w:tab w:val="num" w:pos="3501"/>
        </w:tabs>
        <w:ind w:left="3501" w:hanging="360"/>
      </w:pPr>
    </w:lvl>
    <w:lvl w:ilvl="5" w:tentative="1">
      <w:start w:val="1"/>
      <w:numFmt w:val="lowerLetter"/>
      <w:lvlText w:val="%6."/>
      <w:lvlJc w:val="left"/>
      <w:pPr>
        <w:tabs>
          <w:tab w:val="num" w:pos="4221"/>
        </w:tabs>
        <w:ind w:left="4221" w:hanging="360"/>
      </w:pPr>
    </w:lvl>
    <w:lvl w:ilvl="6" w:tentative="1">
      <w:start w:val="1"/>
      <w:numFmt w:val="lowerLetter"/>
      <w:lvlText w:val="%7."/>
      <w:lvlJc w:val="left"/>
      <w:pPr>
        <w:tabs>
          <w:tab w:val="num" w:pos="4941"/>
        </w:tabs>
        <w:ind w:left="4941" w:hanging="360"/>
      </w:pPr>
    </w:lvl>
    <w:lvl w:ilvl="7" w:tentative="1">
      <w:start w:val="1"/>
      <w:numFmt w:val="lowerLetter"/>
      <w:lvlText w:val="%8."/>
      <w:lvlJc w:val="left"/>
      <w:pPr>
        <w:tabs>
          <w:tab w:val="num" w:pos="5661"/>
        </w:tabs>
        <w:ind w:left="5661" w:hanging="360"/>
      </w:pPr>
    </w:lvl>
    <w:lvl w:ilvl="8" w:tentative="1">
      <w:start w:val="1"/>
      <w:numFmt w:val="lowerLetter"/>
      <w:lvlText w:val="%9."/>
      <w:lvlJc w:val="left"/>
      <w:pPr>
        <w:tabs>
          <w:tab w:val="num" w:pos="6381"/>
        </w:tabs>
        <w:ind w:left="6381" w:hanging="360"/>
      </w:pPr>
    </w:lvl>
  </w:abstractNum>
  <w:abstractNum w:abstractNumId="20" w15:restartNumberingAfterBreak="0">
    <w:nsid w:val="48D96236"/>
    <w:multiLevelType w:val="hybridMultilevel"/>
    <w:tmpl w:val="BFEA204C"/>
    <w:lvl w:ilvl="0" w:tplc="4F2A7940">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5556F4"/>
    <w:multiLevelType w:val="hybridMultilevel"/>
    <w:tmpl w:val="729ADE5C"/>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9BC0F5C">
      <w:start w:val="1"/>
      <w:numFmt w:val="lowerRoman"/>
      <w:lvlText w:val="(%2)"/>
      <w:lvlJc w:val="right"/>
      <w:pPr>
        <w:ind w:left="1069" w:hanging="360"/>
      </w:pPr>
      <w:rPr>
        <w:rFonts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22" w15:restartNumberingAfterBreak="0">
    <w:nsid w:val="51FB62A4"/>
    <w:multiLevelType w:val="hybridMultilevel"/>
    <w:tmpl w:val="F216D43C"/>
    <w:lvl w:ilvl="0" w:tplc="D0003A58">
      <w:start w:val="1"/>
      <w:numFmt w:val="lowerRoman"/>
      <w:lvlText w:val="(%1)"/>
      <w:lvlJc w:val="left"/>
      <w:pPr>
        <w:ind w:left="1800"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3" w15:restartNumberingAfterBreak="0">
    <w:nsid w:val="52C17407"/>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24" w15:restartNumberingAfterBreak="0">
    <w:nsid w:val="53EE1D17"/>
    <w:multiLevelType w:val="multilevel"/>
    <w:tmpl w:val="05224488"/>
    <w:styleLink w:val="Mainnumberingstyle"/>
    <w:lvl w:ilvl="0">
      <w:start w:val="1"/>
      <w:numFmt w:val="decimal"/>
      <w:lvlText w:val="%1."/>
      <w:lvlJc w:val="left"/>
      <w:pPr>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ascii="Times New Roman" w:hAnsi="Times New Roman" w:hint="default"/>
      </w:rPr>
    </w:lvl>
    <w:lvl w:ilvl="2">
      <w:start w:val="1"/>
      <w:numFmt w:val="lowerRoman"/>
      <w:lvlText w:val="(%3)"/>
      <w:lvlJc w:val="left"/>
      <w:pPr>
        <w:ind w:left="2127" w:hanging="709"/>
      </w:pPr>
      <w:rPr>
        <w:rFonts w:ascii="Times New Roman" w:hAnsi="Times New Roman"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righ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right"/>
      <w:pPr>
        <w:ind w:left="6381" w:hanging="709"/>
      </w:pPr>
      <w:rPr>
        <w:rFonts w:hint="default"/>
      </w:rPr>
    </w:lvl>
  </w:abstractNum>
  <w:abstractNum w:abstractNumId="25" w15:restartNumberingAfterBreak="0">
    <w:nsid w:val="542853DB"/>
    <w:multiLevelType w:val="hybridMultilevel"/>
    <w:tmpl w:val="A46EA642"/>
    <w:lvl w:ilvl="0" w:tplc="E102CCC2">
      <w:start w:val="1"/>
      <w:numFmt w:val="lowerLetter"/>
      <w:lvlText w:val="(%1)"/>
      <w:lvlJc w:val="left"/>
      <w:pPr>
        <w:ind w:left="10" w:hanging="360"/>
      </w:pPr>
      <w:rPr>
        <w:rFonts w:hint="default"/>
        <w:i w:val="0"/>
        <w:iCs w:val="0"/>
      </w:rPr>
    </w:lvl>
    <w:lvl w:ilvl="1" w:tplc="08090003">
      <w:start w:val="1"/>
      <w:numFmt w:val="bullet"/>
      <w:lvlText w:val="o"/>
      <w:lvlJc w:val="left"/>
      <w:pPr>
        <w:ind w:left="730" w:hanging="360"/>
      </w:pPr>
      <w:rPr>
        <w:rFonts w:ascii="Courier New" w:hAnsi="Courier New" w:cs="Courier New" w:hint="default"/>
      </w:rPr>
    </w:lvl>
    <w:lvl w:ilvl="2" w:tplc="08090005">
      <w:start w:val="1"/>
      <w:numFmt w:val="bullet"/>
      <w:lvlText w:val=""/>
      <w:lvlJc w:val="left"/>
      <w:pPr>
        <w:ind w:left="1450" w:hanging="360"/>
      </w:pPr>
      <w:rPr>
        <w:rFonts w:ascii="Wingdings" w:hAnsi="Wingdings" w:hint="default"/>
      </w:rPr>
    </w:lvl>
    <w:lvl w:ilvl="3" w:tplc="08090001">
      <w:start w:val="1"/>
      <w:numFmt w:val="bullet"/>
      <w:lvlText w:val=""/>
      <w:lvlJc w:val="left"/>
      <w:pPr>
        <w:ind w:left="2170" w:hanging="360"/>
      </w:pPr>
      <w:rPr>
        <w:rFonts w:ascii="Symbol" w:hAnsi="Symbol" w:hint="default"/>
      </w:rPr>
    </w:lvl>
    <w:lvl w:ilvl="4" w:tplc="08090003">
      <w:start w:val="1"/>
      <w:numFmt w:val="bullet"/>
      <w:lvlText w:val="o"/>
      <w:lvlJc w:val="left"/>
      <w:pPr>
        <w:ind w:left="2890" w:hanging="360"/>
      </w:pPr>
      <w:rPr>
        <w:rFonts w:ascii="Courier New" w:hAnsi="Courier New" w:cs="Courier New" w:hint="default"/>
      </w:rPr>
    </w:lvl>
    <w:lvl w:ilvl="5" w:tplc="08090005">
      <w:start w:val="1"/>
      <w:numFmt w:val="bullet"/>
      <w:lvlText w:val=""/>
      <w:lvlJc w:val="left"/>
      <w:pPr>
        <w:ind w:left="3610" w:hanging="360"/>
      </w:pPr>
      <w:rPr>
        <w:rFonts w:ascii="Wingdings" w:hAnsi="Wingdings" w:hint="default"/>
      </w:rPr>
    </w:lvl>
    <w:lvl w:ilvl="6" w:tplc="08090001">
      <w:start w:val="1"/>
      <w:numFmt w:val="bullet"/>
      <w:lvlText w:val=""/>
      <w:lvlJc w:val="left"/>
      <w:pPr>
        <w:ind w:left="4330" w:hanging="360"/>
      </w:pPr>
      <w:rPr>
        <w:rFonts w:ascii="Symbol" w:hAnsi="Symbol" w:hint="default"/>
      </w:rPr>
    </w:lvl>
    <w:lvl w:ilvl="7" w:tplc="08090003">
      <w:start w:val="1"/>
      <w:numFmt w:val="bullet"/>
      <w:lvlText w:val="o"/>
      <w:lvlJc w:val="left"/>
      <w:pPr>
        <w:ind w:left="5050" w:hanging="360"/>
      </w:pPr>
      <w:rPr>
        <w:rFonts w:ascii="Courier New" w:hAnsi="Courier New" w:cs="Courier New" w:hint="default"/>
      </w:rPr>
    </w:lvl>
    <w:lvl w:ilvl="8" w:tplc="08090005">
      <w:start w:val="1"/>
      <w:numFmt w:val="bullet"/>
      <w:lvlText w:val=""/>
      <w:lvlJc w:val="left"/>
      <w:pPr>
        <w:ind w:left="5770" w:hanging="360"/>
      </w:pPr>
      <w:rPr>
        <w:rFonts w:ascii="Wingdings" w:hAnsi="Wingdings" w:hint="default"/>
      </w:rPr>
    </w:lvl>
  </w:abstractNum>
  <w:abstractNum w:abstractNumId="26" w15:restartNumberingAfterBreak="0">
    <w:nsid w:val="54CA05D0"/>
    <w:multiLevelType w:val="hybridMultilevel"/>
    <w:tmpl w:val="A8124720"/>
    <w:lvl w:ilvl="0" w:tplc="F17E3610">
      <w:start w:val="1"/>
      <w:numFmt w:val="lowerLetter"/>
      <w:lvlText w:val="(%1)"/>
      <w:lvlJc w:val="left"/>
      <w:pPr>
        <w:ind w:left="437" w:hanging="360"/>
      </w:pPr>
      <w:rPr>
        <w:rFonts w:hint="default"/>
        <w:i w:val="0"/>
        <w:iCs w:val="0"/>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59BB2E65"/>
    <w:multiLevelType w:val="hybridMultilevel"/>
    <w:tmpl w:val="2C8C5356"/>
    <w:lvl w:ilvl="0" w:tplc="7A3493FC">
      <w:start w:val="1"/>
      <w:numFmt w:val="lowerLetter"/>
      <w:lvlText w:val="(%1)"/>
      <w:lvlJc w:val="left"/>
      <w:pPr>
        <w:ind w:left="-3" w:hanging="360"/>
      </w:pPr>
      <w:rPr>
        <w:rFonts w:hint="default"/>
        <w:i w:val="0"/>
        <w:iCs w:val="0"/>
      </w:rPr>
    </w:lvl>
    <w:lvl w:ilvl="1" w:tplc="08090019" w:tentative="1">
      <w:start w:val="1"/>
      <w:numFmt w:val="lowerLetter"/>
      <w:lvlText w:val="%2."/>
      <w:lvlJc w:val="left"/>
      <w:pPr>
        <w:ind w:left="717" w:hanging="360"/>
      </w:pPr>
    </w:lvl>
    <w:lvl w:ilvl="2" w:tplc="0809001B" w:tentative="1">
      <w:start w:val="1"/>
      <w:numFmt w:val="lowerRoman"/>
      <w:lvlText w:val="%3."/>
      <w:lvlJc w:val="right"/>
      <w:pPr>
        <w:ind w:left="1437" w:hanging="180"/>
      </w:pPr>
    </w:lvl>
    <w:lvl w:ilvl="3" w:tplc="0809000F" w:tentative="1">
      <w:start w:val="1"/>
      <w:numFmt w:val="decimal"/>
      <w:lvlText w:val="%4."/>
      <w:lvlJc w:val="left"/>
      <w:pPr>
        <w:ind w:left="2157" w:hanging="360"/>
      </w:pPr>
    </w:lvl>
    <w:lvl w:ilvl="4" w:tplc="08090019" w:tentative="1">
      <w:start w:val="1"/>
      <w:numFmt w:val="lowerLetter"/>
      <w:lvlText w:val="%5."/>
      <w:lvlJc w:val="left"/>
      <w:pPr>
        <w:ind w:left="2877" w:hanging="360"/>
      </w:pPr>
    </w:lvl>
    <w:lvl w:ilvl="5" w:tplc="0809001B" w:tentative="1">
      <w:start w:val="1"/>
      <w:numFmt w:val="lowerRoman"/>
      <w:lvlText w:val="%6."/>
      <w:lvlJc w:val="right"/>
      <w:pPr>
        <w:ind w:left="3597" w:hanging="180"/>
      </w:pPr>
    </w:lvl>
    <w:lvl w:ilvl="6" w:tplc="0809000F" w:tentative="1">
      <w:start w:val="1"/>
      <w:numFmt w:val="decimal"/>
      <w:lvlText w:val="%7."/>
      <w:lvlJc w:val="left"/>
      <w:pPr>
        <w:ind w:left="4317" w:hanging="360"/>
      </w:pPr>
    </w:lvl>
    <w:lvl w:ilvl="7" w:tplc="08090019" w:tentative="1">
      <w:start w:val="1"/>
      <w:numFmt w:val="lowerLetter"/>
      <w:lvlText w:val="%8."/>
      <w:lvlJc w:val="left"/>
      <w:pPr>
        <w:ind w:left="5037" w:hanging="360"/>
      </w:pPr>
    </w:lvl>
    <w:lvl w:ilvl="8" w:tplc="0809001B" w:tentative="1">
      <w:start w:val="1"/>
      <w:numFmt w:val="lowerRoman"/>
      <w:lvlText w:val="%9."/>
      <w:lvlJc w:val="right"/>
      <w:pPr>
        <w:ind w:left="5757" w:hanging="180"/>
      </w:pPr>
    </w:lvl>
  </w:abstractNum>
  <w:abstractNum w:abstractNumId="28" w15:restartNumberingAfterBreak="0">
    <w:nsid w:val="611B141D"/>
    <w:multiLevelType w:val="hybridMultilevel"/>
    <w:tmpl w:val="3A66D3DA"/>
    <w:lvl w:ilvl="0" w:tplc="FE161FA2">
      <w:start w:val="1"/>
      <w:numFmt w:val="lowerLetter"/>
      <w:lvlText w:val="(%1)"/>
      <w:lvlJc w:val="left"/>
      <w:pPr>
        <w:ind w:left="538"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29" w15:restartNumberingAfterBreak="0">
    <w:nsid w:val="62F64B49"/>
    <w:multiLevelType w:val="hybridMultilevel"/>
    <w:tmpl w:val="26341992"/>
    <w:lvl w:ilvl="0" w:tplc="3FEA5F2C">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BD0B21"/>
    <w:multiLevelType w:val="hybridMultilevel"/>
    <w:tmpl w:val="7732341C"/>
    <w:lvl w:ilvl="0" w:tplc="94AC34B0">
      <w:start w:val="1"/>
      <w:numFmt w:val="lowerLetter"/>
      <w:lvlText w:val="(%1)"/>
      <w:lvlJc w:val="left"/>
      <w:pPr>
        <w:ind w:left="545" w:hanging="360"/>
      </w:pPr>
      <w:rPr>
        <w:rFonts w:hint="default"/>
        <w:i w:val="0"/>
        <w:iCs w:val="0"/>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31" w15:restartNumberingAfterBreak="0">
    <w:nsid w:val="6FA30905"/>
    <w:multiLevelType w:val="hybridMultilevel"/>
    <w:tmpl w:val="1A769484"/>
    <w:lvl w:ilvl="0" w:tplc="F71CABB0">
      <w:start w:val="1"/>
      <w:numFmt w:val="lowerLetter"/>
      <w:lvlText w:val="(%1)"/>
      <w:lvlJc w:val="left"/>
      <w:pPr>
        <w:ind w:left="-1030" w:hanging="360"/>
      </w:pPr>
      <w:rPr>
        <w:rFonts w:hint="default"/>
        <w:i w:val="0"/>
        <w:iCs w:val="0"/>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410" w:hanging="360"/>
      </w:pPr>
      <w:rPr>
        <w:rFonts w:ascii="Wingdings" w:hAnsi="Wingdings" w:hint="default"/>
      </w:rPr>
    </w:lvl>
    <w:lvl w:ilvl="3" w:tplc="08090001" w:tentative="1">
      <w:start w:val="1"/>
      <w:numFmt w:val="bullet"/>
      <w:lvlText w:val=""/>
      <w:lvlJc w:val="left"/>
      <w:pPr>
        <w:ind w:left="1130" w:hanging="360"/>
      </w:pPr>
      <w:rPr>
        <w:rFonts w:ascii="Symbol" w:hAnsi="Symbol" w:hint="default"/>
      </w:rPr>
    </w:lvl>
    <w:lvl w:ilvl="4" w:tplc="08090003" w:tentative="1">
      <w:start w:val="1"/>
      <w:numFmt w:val="bullet"/>
      <w:lvlText w:val="o"/>
      <w:lvlJc w:val="left"/>
      <w:pPr>
        <w:ind w:left="1850" w:hanging="360"/>
      </w:pPr>
      <w:rPr>
        <w:rFonts w:ascii="Courier New" w:hAnsi="Courier New" w:cs="Courier New" w:hint="default"/>
      </w:rPr>
    </w:lvl>
    <w:lvl w:ilvl="5" w:tplc="08090005" w:tentative="1">
      <w:start w:val="1"/>
      <w:numFmt w:val="bullet"/>
      <w:lvlText w:val=""/>
      <w:lvlJc w:val="left"/>
      <w:pPr>
        <w:ind w:left="2570" w:hanging="360"/>
      </w:pPr>
      <w:rPr>
        <w:rFonts w:ascii="Wingdings" w:hAnsi="Wingdings" w:hint="default"/>
      </w:rPr>
    </w:lvl>
    <w:lvl w:ilvl="6" w:tplc="08090001" w:tentative="1">
      <w:start w:val="1"/>
      <w:numFmt w:val="bullet"/>
      <w:lvlText w:val=""/>
      <w:lvlJc w:val="left"/>
      <w:pPr>
        <w:ind w:left="3290" w:hanging="360"/>
      </w:pPr>
      <w:rPr>
        <w:rFonts w:ascii="Symbol" w:hAnsi="Symbol" w:hint="default"/>
      </w:rPr>
    </w:lvl>
    <w:lvl w:ilvl="7" w:tplc="08090003" w:tentative="1">
      <w:start w:val="1"/>
      <w:numFmt w:val="bullet"/>
      <w:lvlText w:val="o"/>
      <w:lvlJc w:val="left"/>
      <w:pPr>
        <w:ind w:left="4010" w:hanging="360"/>
      </w:pPr>
      <w:rPr>
        <w:rFonts w:ascii="Courier New" w:hAnsi="Courier New" w:cs="Courier New" w:hint="default"/>
      </w:rPr>
    </w:lvl>
    <w:lvl w:ilvl="8" w:tplc="08090005" w:tentative="1">
      <w:start w:val="1"/>
      <w:numFmt w:val="bullet"/>
      <w:lvlText w:val=""/>
      <w:lvlJc w:val="left"/>
      <w:pPr>
        <w:ind w:left="4730" w:hanging="360"/>
      </w:pPr>
      <w:rPr>
        <w:rFonts w:ascii="Wingdings" w:hAnsi="Wingdings" w:hint="default"/>
      </w:rPr>
    </w:lvl>
  </w:abstractNum>
  <w:abstractNum w:abstractNumId="32" w15:restartNumberingAfterBreak="0">
    <w:nsid w:val="738461C7"/>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33" w15:restartNumberingAfterBreak="0">
    <w:nsid w:val="763E7ED4"/>
    <w:multiLevelType w:val="hybridMultilevel"/>
    <w:tmpl w:val="8F703130"/>
    <w:lvl w:ilvl="0" w:tplc="FFFFFFFF">
      <w:start w:val="1"/>
      <w:numFmt w:val="lowerLetter"/>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18" w:hanging="709"/>
      </w:pPr>
      <w:rPr>
        <w:rFonts w:ascii="Times New Roman" w:hAnsi="Times New Roman" w:hint="default"/>
      </w:rPr>
    </w:lvl>
    <w:lvl w:ilvl="2" w:tplc="FFFFFFFF">
      <w:start w:val="1"/>
      <w:numFmt w:val="lowerRoman"/>
      <w:lvlText w:val="(%3)"/>
      <w:lvlJc w:val="left"/>
      <w:pPr>
        <w:ind w:left="2127" w:hanging="709"/>
      </w:pPr>
      <w:rPr>
        <w:rFonts w:ascii="Times New Roman" w:hAnsi="Times New Roman" w:hint="default"/>
      </w:rPr>
    </w:lvl>
    <w:lvl w:ilvl="3" w:tplc="FFFFFFFF">
      <w:start w:val="1"/>
      <w:numFmt w:val="decimal"/>
      <w:lvlText w:val="%4."/>
      <w:lvlJc w:val="left"/>
      <w:pPr>
        <w:ind w:left="2836" w:hanging="709"/>
      </w:pPr>
      <w:rPr>
        <w:rFonts w:hint="default"/>
      </w:rPr>
    </w:lvl>
    <w:lvl w:ilvl="4" w:tplc="FFFFFFFF">
      <w:start w:val="1"/>
      <w:numFmt w:val="lowerLetter"/>
      <w:lvlText w:val="%5."/>
      <w:lvlJc w:val="left"/>
      <w:pPr>
        <w:ind w:left="3545" w:hanging="709"/>
      </w:pPr>
      <w:rPr>
        <w:rFonts w:hint="default"/>
      </w:rPr>
    </w:lvl>
    <w:lvl w:ilvl="5" w:tplc="FFFFFFFF">
      <w:start w:val="1"/>
      <w:numFmt w:val="lowerRoman"/>
      <w:lvlText w:val="%6."/>
      <w:lvlJc w:val="right"/>
      <w:pPr>
        <w:ind w:left="4254" w:hanging="709"/>
      </w:pPr>
      <w:rPr>
        <w:rFonts w:hint="default"/>
      </w:rPr>
    </w:lvl>
    <w:lvl w:ilvl="6" w:tplc="FFFFFFFF">
      <w:start w:val="1"/>
      <w:numFmt w:val="decimal"/>
      <w:lvlText w:val="%7."/>
      <w:lvlJc w:val="left"/>
      <w:pPr>
        <w:ind w:left="4963" w:hanging="709"/>
      </w:pPr>
      <w:rPr>
        <w:rFonts w:hint="default"/>
      </w:rPr>
    </w:lvl>
    <w:lvl w:ilvl="7" w:tplc="FFFFFFFF">
      <w:start w:val="1"/>
      <w:numFmt w:val="lowerLetter"/>
      <w:lvlText w:val="%8."/>
      <w:lvlJc w:val="left"/>
      <w:pPr>
        <w:ind w:left="5672" w:hanging="709"/>
      </w:pPr>
      <w:rPr>
        <w:rFonts w:hint="default"/>
      </w:rPr>
    </w:lvl>
    <w:lvl w:ilvl="8" w:tplc="FFFFFFFF">
      <w:start w:val="1"/>
      <w:numFmt w:val="lowerRoman"/>
      <w:lvlText w:val="%9."/>
      <w:lvlJc w:val="right"/>
      <w:pPr>
        <w:ind w:left="6381" w:hanging="709"/>
      </w:pPr>
      <w:rPr>
        <w:rFonts w:hint="default"/>
      </w:rPr>
    </w:lvl>
  </w:abstractNum>
  <w:abstractNum w:abstractNumId="34" w15:restartNumberingAfterBreak="0">
    <w:nsid w:val="767A6F95"/>
    <w:multiLevelType w:val="multilevel"/>
    <w:tmpl w:val="E4F87CD2"/>
    <w:lvl w:ilvl="0">
      <w:start w:val="1"/>
      <w:numFmt w:val="decimal"/>
      <w:pStyle w:val="ListNumber"/>
      <w:lvlText w:val="%1."/>
      <w:lvlJc w:val="left"/>
      <w:pPr>
        <w:tabs>
          <w:tab w:val="num" w:pos="397"/>
        </w:tabs>
        <w:ind w:left="397" w:hanging="397"/>
      </w:pPr>
      <w:rPr>
        <w:rFonts w:ascii="Arial" w:hAnsi="Arial" w:hint="default"/>
        <w:b w:val="0"/>
        <w:i w:val="0"/>
        <w:color w:val="000000"/>
        <w:sz w:val="22"/>
        <w:u w:val="none"/>
      </w:rPr>
    </w:lvl>
    <w:lvl w:ilvl="1">
      <w:start w:val="1"/>
      <w:numFmt w:val="decimal"/>
      <w:lvlText w:val="%1.%2."/>
      <w:lvlJc w:val="left"/>
      <w:pPr>
        <w:tabs>
          <w:tab w:val="num" w:pos="907"/>
        </w:tabs>
        <w:ind w:left="907" w:hanging="510"/>
      </w:pPr>
      <w:rPr>
        <w:rFonts w:ascii="Arial" w:hAnsi="Arial" w:hint="default"/>
        <w:b w:val="0"/>
        <w:i w:val="0"/>
        <w:sz w:val="22"/>
      </w:rPr>
    </w:lvl>
    <w:lvl w:ilvl="2">
      <w:start w:val="1"/>
      <w:numFmt w:val="decimal"/>
      <w:lvlText w:val="%1.%2.%3."/>
      <w:lvlJc w:val="left"/>
      <w:pPr>
        <w:tabs>
          <w:tab w:val="num" w:pos="1588"/>
        </w:tabs>
        <w:ind w:left="1588" w:hanging="681"/>
      </w:pPr>
      <w:rPr>
        <w:rFonts w:ascii="Arial" w:hAnsi="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711879223">
    <w:abstractNumId w:val="34"/>
  </w:num>
  <w:num w:numId="2" w16cid:durableId="1234436738">
    <w:abstractNumId w:val="11"/>
  </w:num>
  <w:num w:numId="3" w16cid:durableId="1164322548">
    <w:abstractNumId w:val="9"/>
  </w:num>
  <w:num w:numId="4" w16cid:durableId="1797291979">
    <w:abstractNumId w:val="4"/>
  </w:num>
  <w:num w:numId="5" w16cid:durableId="794178127">
    <w:abstractNumId w:val="15"/>
  </w:num>
  <w:num w:numId="6" w16cid:durableId="1426271537">
    <w:abstractNumId w:val="31"/>
  </w:num>
  <w:num w:numId="7" w16cid:durableId="1715814451">
    <w:abstractNumId w:val="13"/>
  </w:num>
  <w:num w:numId="8" w16cid:durableId="1398935583">
    <w:abstractNumId w:val="25"/>
  </w:num>
  <w:num w:numId="9" w16cid:durableId="568731698">
    <w:abstractNumId w:val="29"/>
  </w:num>
  <w:num w:numId="10" w16cid:durableId="618998557">
    <w:abstractNumId w:val="26"/>
  </w:num>
  <w:num w:numId="11" w16cid:durableId="843283564">
    <w:abstractNumId w:val="27"/>
  </w:num>
  <w:num w:numId="12" w16cid:durableId="800152550">
    <w:abstractNumId w:val="20"/>
  </w:num>
  <w:num w:numId="13" w16cid:durableId="1953974079">
    <w:abstractNumId w:val="6"/>
  </w:num>
  <w:num w:numId="14" w16cid:durableId="658271031">
    <w:abstractNumId w:val="5"/>
  </w:num>
  <w:num w:numId="15" w16cid:durableId="1832982223">
    <w:abstractNumId w:val="28"/>
  </w:num>
  <w:num w:numId="16" w16cid:durableId="38434845">
    <w:abstractNumId w:val="30"/>
  </w:num>
  <w:num w:numId="17" w16cid:durableId="509104606">
    <w:abstractNumId w:val="19"/>
  </w:num>
  <w:num w:numId="18" w16cid:durableId="1354260121">
    <w:abstractNumId w:val="3"/>
  </w:num>
  <w:num w:numId="19" w16cid:durableId="1683623337">
    <w:abstractNumId w:val="1"/>
  </w:num>
  <w:num w:numId="20" w16cid:durableId="525950243">
    <w:abstractNumId w:val="7"/>
  </w:num>
  <w:num w:numId="21" w16cid:durableId="712970664">
    <w:abstractNumId w:val="12"/>
  </w:num>
  <w:num w:numId="22" w16cid:durableId="848830490">
    <w:abstractNumId w:val="10"/>
  </w:num>
  <w:num w:numId="23" w16cid:durableId="1158421287">
    <w:abstractNumId w:val="24"/>
  </w:num>
  <w:num w:numId="24" w16cid:durableId="1856728819">
    <w:abstractNumId w:val="16"/>
  </w:num>
  <w:num w:numId="25" w16cid:durableId="1129782215">
    <w:abstractNumId w:val="11"/>
  </w:num>
  <w:num w:numId="26" w16cid:durableId="1207832351">
    <w:abstractNumId w:val="8"/>
  </w:num>
  <w:num w:numId="27" w16cid:durableId="687488413">
    <w:abstractNumId w:val="11"/>
  </w:num>
  <w:num w:numId="28" w16cid:durableId="188032043">
    <w:abstractNumId w:val="0"/>
  </w:num>
  <w:num w:numId="29" w16cid:durableId="354233577">
    <w:abstractNumId w:val="2"/>
  </w:num>
  <w:num w:numId="30" w16cid:durableId="210533928">
    <w:abstractNumId w:val="11"/>
  </w:num>
  <w:num w:numId="31" w16cid:durableId="10031378">
    <w:abstractNumId w:val="23"/>
  </w:num>
  <w:num w:numId="32" w16cid:durableId="1915815477">
    <w:abstractNumId w:val="11"/>
  </w:num>
  <w:num w:numId="33" w16cid:durableId="1703096624">
    <w:abstractNumId w:val="33"/>
  </w:num>
  <w:num w:numId="34" w16cid:durableId="305866633">
    <w:abstractNumId w:val="11"/>
  </w:num>
  <w:num w:numId="35" w16cid:durableId="1424492358">
    <w:abstractNumId w:val="32"/>
  </w:num>
  <w:num w:numId="36" w16cid:durableId="1480001355">
    <w:abstractNumId w:val="11"/>
  </w:num>
  <w:num w:numId="37" w16cid:durableId="9453490">
    <w:abstractNumId w:val="18"/>
  </w:num>
  <w:num w:numId="38" w16cid:durableId="2038462042">
    <w:abstractNumId w:val="11"/>
  </w:num>
  <w:num w:numId="39" w16cid:durableId="317685495">
    <w:abstractNumId w:val="21"/>
  </w:num>
  <w:num w:numId="40" w16cid:durableId="1269972797">
    <w:abstractNumId w:val="11"/>
  </w:num>
  <w:num w:numId="41" w16cid:durableId="768890920">
    <w:abstractNumId w:val="11"/>
  </w:num>
  <w:num w:numId="42" w16cid:durableId="1792817150">
    <w:abstractNumId w:val="22"/>
  </w:num>
  <w:num w:numId="43" w16cid:durableId="1531184073">
    <w:abstractNumId w:val="11"/>
  </w:num>
  <w:num w:numId="44" w16cid:durableId="432092093">
    <w:abstractNumId w:val="14"/>
  </w:num>
  <w:num w:numId="45" w16cid:durableId="1934587468">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89"/>
    <w:rsid w:val="0001675A"/>
    <w:rsid w:val="000452F5"/>
    <w:rsid w:val="00047BC0"/>
    <w:rsid w:val="00057C11"/>
    <w:rsid w:val="00061FEF"/>
    <w:rsid w:val="00065A57"/>
    <w:rsid w:val="00070659"/>
    <w:rsid w:val="0007790B"/>
    <w:rsid w:val="00080261"/>
    <w:rsid w:val="000D5805"/>
    <w:rsid w:val="000D7BA1"/>
    <w:rsid w:val="000E2CA6"/>
    <w:rsid w:val="000E3561"/>
    <w:rsid w:val="000F01EF"/>
    <w:rsid w:val="000F1D90"/>
    <w:rsid w:val="000F7000"/>
    <w:rsid w:val="001056FC"/>
    <w:rsid w:val="00117F02"/>
    <w:rsid w:val="00120C1B"/>
    <w:rsid w:val="001329B7"/>
    <w:rsid w:val="00134FA9"/>
    <w:rsid w:val="0014016F"/>
    <w:rsid w:val="00144310"/>
    <w:rsid w:val="001448A5"/>
    <w:rsid w:val="00154F83"/>
    <w:rsid w:val="001623F4"/>
    <w:rsid w:val="0016633C"/>
    <w:rsid w:val="00166E3D"/>
    <w:rsid w:val="00176E4A"/>
    <w:rsid w:val="001771F9"/>
    <w:rsid w:val="001814D4"/>
    <w:rsid w:val="00183103"/>
    <w:rsid w:val="0018626E"/>
    <w:rsid w:val="00187067"/>
    <w:rsid w:val="00193D14"/>
    <w:rsid w:val="00194F86"/>
    <w:rsid w:val="001A0C7F"/>
    <w:rsid w:val="001B27E4"/>
    <w:rsid w:val="001B6E50"/>
    <w:rsid w:val="001D206C"/>
    <w:rsid w:val="001E3150"/>
    <w:rsid w:val="001E44B4"/>
    <w:rsid w:val="001E547F"/>
    <w:rsid w:val="001E5A17"/>
    <w:rsid w:val="001E735D"/>
    <w:rsid w:val="001F0B15"/>
    <w:rsid w:val="002078B0"/>
    <w:rsid w:val="00212620"/>
    <w:rsid w:val="00220A48"/>
    <w:rsid w:val="0022317A"/>
    <w:rsid w:val="002232A7"/>
    <w:rsid w:val="0022395A"/>
    <w:rsid w:val="0022650D"/>
    <w:rsid w:val="0023483D"/>
    <w:rsid w:val="00235B38"/>
    <w:rsid w:val="00236671"/>
    <w:rsid w:val="0024272E"/>
    <w:rsid w:val="00246B89"/>
    <w:rsid w:val="0025787E"/>
    <w:rsid w:val="00262759"/>
    <w:rsid w:val="00266E6E"/>
    <w:rsid w:val="00283452"/>
    <w:rsid w:val="0028454D"/>
    <w:rsid w:val="00293DCE"/>
    <w:rsid w:val="002A4290"/>
    <w:rsid w:val="002A6D4E"/>
    <w:rsid w:val="002B047B"/>
    <w:rsid w:val="002C2953"/>
    <w:rsid w:val="002C6030"/>
    <w:rsid w:val="002D20C4"/>
    <w:rsid w:val="002D34ED"/>
    <w:rsid w:val="002D47C9"/>
    <w:rsid w:val="002E1CF2"/>
    <w:rsid w:val="002E29E4"/>
    <w:rsid w:val="002E422E"/>
    <w:rsid w:val="002F40DC"/>
    <w:rsid w:val="00304CBD"/>
    <w:rsid w:val="00305570"/>
    <w:rsid w:val="003106BF"/>
    <w:rsid w:val="003122C3"/>
    <w:rsid w:val="00317733"/>
    <w:rsid w:val="00320B52"/>
    <w:rsid w:val="00320F31"/>
    <w:rsid w:val="00325E2A"/>
    <w:rsid w:val="00340F49"/>
    <w:rsid w:val="0034248A"/>
    <w:rsid w:val="00357127"/>
    <w:rsid w:val="00374545"/>
    <w:rsid w:val="0037602A"/>
    <w:rsid w:val="003A1590"/>
    <w:rsid w:val="003A194D"/>
    <w:rsid w:val="003A1C8B"/>
    <w:rsid w:val="003A2880"/>
    <w:rsid w:val="003A5CCF"/>
    <w:rsid w:val="003B07DA"/>
    <w:rsid w:val="003C5EE8"/>
    <w:rsid w:val="003C6FCF"/>
    <w:rsid w:val="003C7B5C"/>
    <w:rsid w:val="003D1E66"/>
    <w:rsid w:val="003D1EA6"/>
    <w:rsid w:val="003D33C2"/>
    <w:rsid w:val="003E24C5"/>
    <w:rsid w:val="003E2D22"/>
    <w:rsid w:val="003F5A7A"/>
    <w:rsid w:val="004010D6"/>
    <w:rsid w:val="00406591"/>
    <w:rsid w:val="0041140F"/>
    <w:rsid w:val="00417B19"/>
    <w:rsid w:val="004244FE"/>
    <w:rsid w:val="00426E82"/>
    <w:rsid w:val="00435DDD"/>
    <w:rsid w:val="00437629"/>
    <w:rsid w:val="004452AD"/>
    <w:rsid w:val="00471802"/>
    <w:rsid w:val="0047436A"/>
    <w:rsid w:val="00475950"/>
    <w:rsid w:val="00475ACD"/>
    <w:rsid w:val="00477A33"/>
    <w:rsid w:val="00492394"/>
    <w:rsid w:val="004964B5"/>
    <w:rsid w:val="004B1A73"/>
    <w:rsid w:val="004B4821"/>
    <w:rsid w:val="004C319F"/>
    <w:rsid w:val="004C7214"/>
    <w:rsid w:val="004E55C7"/>
    <w:rsid w:val="004F0D95"/>
    <w:rsid w:val="004F2EAA"/>
    <w:rsid w:val="005016B6"/>
    <w:rsid w:val="0052625E"/>
    <w:rsid w:val="005308DF"/>
    <w:rsid w:val="00534CF1"/>
    <w:rsid w:val="00540BB4"/>
    <w:rsid w:val="00543605"/>
    <w:rsid w:val="00546526"/>
    <w:rsid w:val="005543F8"/>
    <w:rsid w:val="00556075"/>
    <w:rsid w:val="0056190B"/>
    <w:rsid w:val="0056791B"/>
    <w:rsid w:val="005700B5"/>
    <w:rsid w:val="00570EAA"/>
    <w:rsid w:val="00571EFA"/>
    <w:rsid w:val="00572CD5"/>
    <w:rsid w:val="005774FD"/>
    <w:rsid w:val="00583906"/>
    <w:rsid w:val="0059139F"/>
    <w:rsid w:val="005921E3"/>
    <w:rsid w:val="005933F2"/>
    <w:rsid w:val="0059547D"/>
    <w:rsid w:val="005A121F"/>
    <w:rsid w:val="005A44E0"/>
    <w:rsid w:val="005A49A2"/>
    <w:rsid w:val="005C0494"/>
    <w:rsid w:val="005C468F"/>
    <w:rsid w:val="005C770A"/>
    <w:rsid w:val="005D0E60"/>
    <w:rsid w:val="005D1ABD"/>
    <w:rsid w:val="005F1094"/>
    <w:rsid w:val="005F26DD"/>
    <w:rsid w:val="005F4E9F"/>
    <w:rsid w:val="00601C04"/>
    <w:rsid w:val="00601DE4"/>
    <w:rsid w:val="00603888"/>
    <w:rsid w:val="006051D8"/>
    <w:rsid w:val="00606B04"/>
    <w:rsid w:val="00615756"/>
    <w:rsid w:val="006174E3"/>
    <w:rsid w:val="00621E9F"/>
    <w:rsid w:val="0063235A"/>
    <w:rsid w:val="00635101"/>
    <w:rsid w:val="0064000D"/>
    <w:rsid w:val="00641CB1"/>
    <w:rsid w:val="0064383F"/>
    <w:rsid w:val="00651CB1"/>
    <w:rsid w:val="006574AF"/>
    <w:rsid w:val="00672742"/>
    <w:rsid w:val="00672FB3"/>
    <w:rsid w:val="00674EFF"/>
    <w:rsid w:val="00681862"/>
    <w:rsid w:val="00681DA4"/>
    <w:rsid w:val="006969B6"/>
    <w:rsid w:val="006C02E0"/>
    <w:rsid w:val="006D0312"/>
    <w:rsid w:val="006D0C9E"/>
    <w:rsid w:val="006D729C"/>
    <w:rsid w:val="006E4789"/>
    <w:rsid w:val="006E5F74"/>
    <w:rsid w:val="006E6E3B"/>
    <w:rsid w:val="006F75C1"/>
    <w:rsid w:val="007328F5"/>
    <w:rsid w:val="00734E77"/>
    <w:rsid w:val="00735D28"/>
    <w:rsid w:val="007376DB"/>
    <w:rsid w:val="00744FBC"/>
    <w:rsid w:val="0074595E"/>
    <w:rsid w:val="00752C26"/>
    <w:rsid w:val="0076631C"/>
    <w:rsid w:val="00776723"/>
    <w:rsid w:val="00785C24"/>
    <w:rsid w:val="00790FFF"/>
    <w:rsid w:val="007976F5"/>
    <w:rsid w:val="007A3421"/>
    <w:rsid w:val="007B55D9"/>
    <w:rsid w:val="007B5ED9"/>
    <w:rsid w:val="007D32BF"/>
    <w:rsid w:val="007D57BD"/>
    <w:rsid w:val="007D6437"/>
    <w:rsid w:val="007E1241"/>
    <w:rsid w:val="007E3639"/>
    <w:rsid w:val="007E3D86"/>
    <w:rsid w:val="008051E3"/>
    <w:rsid w:val="00820070"/>
    <w:rsid w:val="00824CED"/>
    <w:rsid w:val="008250EE"/>
    <w:rsid w:val="00832882"/>
    <w:rsid w:val="00845B3D"/>
    <w:rsid w:val="008476F1"/>
    <w:rsid w:val="008660B0"/>
    <w:rsid w:val="008861BB"/>
    <w:rsid w:val="008905EA"/>
    <w:rsid w:val="00892439"/>
    <w:rsid w:val="008963C4"/>
    <w:rsid w:val="008A2698"/>
    <w:rsid w:val="008A321F"/>
    <w:rsid w:val="008A36E0"/>
    <w:rsid w:val="008C47E3"/>
    <w:rsid w:val="008D7447"/>
    <w:rsid w:val="008E177C"/>
    <w:rsid w:val="008E51A5"/>
    <w:rsid w:val="008E6AA8"/>
    <w:rsid w:val="00904119"/>
    <w:rsid w:val="0091025A"/>
    <w:rsid w:val="0092161E"/>
    <w:rsid w:val="00927F19"/>
    <w:rsid w:val="0093522F"/>
    <w:rsid w:val="00941D56"/>
    <w:rsid w:val="00946897"/>
    <w:rsid w:val="00961AB1"/>
    <w:rsid w:val="00962AB4"/>
    <w:rsid w:val="00963AED"/>
    <w:rsid w:val="009653DA"/>
    <w:rsid w:val="00975E3F"/>
    <w:rsid w:val="00986D44"/>
    <w:rsid w:val="00987985"/>
    <w:rsid w:val="009976BE"/>
    <w:rsid w:val="009A70DB"/>
    <w:rsid w:val="009C7285"/>
    <w:rsid w:val="009D697A"/>
    <w:rsid w:val="009F0857"/>
    <w:rsid w:val="009F21A3"/>
    <w:rsid w:val="009F5525"/>
    <w:rsid w:val="009F7452"/>
    <w:rsid w:val="00A10608"/>
    <w:rsid w:val="00A13183"/>
    <w:rsid w:val="00A16869"/>
    <w:rsid w:val="00A372A0"/>
    <w:rsid w:val="00A432EF"/>
    <w:rsid w:val="00A4470E"/>
    <w:rsid w:val="00A52D31"/>
    <w:rsid w:val="00A539E8"/>
    <w:rsid w:val="00A62B96"/>
    <w:rsid w:val="00A7027F"/>
    <w:rsid w:val="00A72938"/>
    <w:rsid w:val="00A73406"/>
    <w:rsid w:val="00A800ED"/>
    <w:rsid w:val="00A93F0E"/>
    <w:rsid w:val="00A9524F"/>
    <w:rsid w:val="00AA64EC"/>
    <w:rsid w:val="00AB1FB7"/>
    <w:rsid w:val="00AB26E4"/>
    <w:rsid w:val="00AB2874"/>
    <w:rsid w:val="00AB4FCC"/>
    <w:rsid w:val="00AD1F3A"/>
    <w:rsid w:val="00AD3BA4"/>
    <w:rsid w:val="00AD58C7"/>
    <w:rsid w:val="00AE05D9"/>
    <w:rsid w:val="00AE3BBE"/>
    <w:rsid w:val="00AE74C7"/>
    <w:rsid w:val="00AF120B"/>
    <w:rsid w:val="00AF3CC4"/>
    <w:rsid w:val="00B070FE"/>
    <w:rsid w:val="00B07987"/>
    <w:rsid w:val="00B16A6B"/>
    <w:rsid w:val="00B25C3C"/>
    <w:rsid w:val="00B33691"/>
    <w:rsid w:val="00B36E53"/>
    <w:rsid w:val="00B40A06"/>
    <w:rsid w:val="00B4390C"/>
    <w:rsid w:val="00B7182B"/>
    <w:rsid w:val="00B81169"/>
    <w:rsid w:val="00B83B48"/>
    <w:rsid w:val="00B83C0E"/>
    <w:rsid w:val="00B95CED"/>
    <w:rsid w:val="00BA1C4D"/>
    <w:rsid w:val="00BA1DD3"/>
    <w:rsid w:val="00BA3E7A"/>
    <w:rsid w:val="00BA4FFB"/>
    <w:rsid w:val="00BB7C39"/>
    <w:rsid w:val="00BC2FAB"/>
    <w:rsid w:val="00BC346C"/>
    <w:rsid w:val="00BD0A03"/>
    <w:rsid w:val="00BF1363"/>
    <w:rsid w:val="00BF4A0B"/>
    <w:rsid w:val="00BF6D6E"/>
    <w:rsid w:val="00C00149"/>
    <w:rsid w:val="00C026AB"/>
    <w:rsid w:val="00C04723"/>
    <w:rsid w:val="00C126CE"/>
    <w:rsid w:val="00C1544F"/>
    <w:rsid w:val="00C16462"/>
    <w:rsid w:val="00C33384"/>
    <w:rsid w:val="00C37998"/>
    <w:rsid w:val="00C453BB"/>
    <w:rsid w:val="00C57D11"/>
    <w:rsid w:val="00C64A0B"/>
    <w:rsid w:val="00C66BF5"/>
    <w:rsid w:val="00CA1333"/>
    <w:rsid w:val="00CA1F76"/>
    <w:rsid w:val="00CB0D40"/>
    <w:rsid w:val="00CB2B67"/>
    <w:rsid w:val="00CB692D"/>
    <w:rsid w:val="00CC57D5"/>
    <w:rsid w:val="00CD2B7C"/>
    <w:rsid w:val="00CD7E2A"/>
    <w:rsid w:val="00D01646"/>
    <w:rsid w:val="00D026A1"/>
    <w:rsid w:val="00D069F6"/>
    <w:rsid w:val="00D228A9"/>
    <w:rsid w:val="00D2567E"/>
    <w:rsid w:val="00D25C55"/>
    <w:rsid w:val="00D27424"/>
    <w:rsid w:val="00D301FD"/>
    <w:rsid w:val="00D35A2D"/>
    <w:rsid w:val="00D37A18"/>
    <w:rsid w:val="00D45BF0"/>
    <w:rsid w:val="00D514C9"/>
    <w:rsid w:val="00D577D8"/>
    <w:rsid w:val="00D6040B"/>
    <w:rsid w:val="00D605E2"/>
    <w:rsid w:val="00D65787"/>
    <w:rsid w:val="00D71A49"/>
    <w:rsid w:val="00D74409"/>
    <w:rsid w:val="00D75CD1"/>
    <w:rsid w:val="00D834A2"/>
    <w:rsid w:val="00D85815"/>
    <w:rsid w:val="00D87B18"/>
    <w:rsid w:val="00DB7571"/>
    <w:rsid w:val="00DC1AED"/>
    <w:rsid w:val="00DC7CCA"/>
    <w:rsid w:val="00DD5FED"/>
    <w:rsid w:val="00DE105B"/>
    <w:rsid w:val="00DE56DD"/>
    <w:rsid w:val="00DE7A2D"/>
    <w:rsid w:val="00DF381F"/>
    <w:rsid w:val="00E037B2"/>
    <w:rsid w:val="00E11060"/>
    <w:rsid w:val="00E11751"/>
    <w:rsid w:val="00E154BC"/>
    <w:rsid w:val="00E2385A"/>
    <w:rsid w:val="00E30E3F"/>
    <w:rsid w:val="00E3391E"/>
    <w:rsid w:val="00E42661"/>
    <w:rsid w:val="00E42E58"/>
    <w:rsid w:val="00E45E13"/>
    <w:rsid w:val="00E51D9E"/>
    <w:rsid w:val="00E524B9"/>
    <w:rsid w:val="00E53A29"/>
    <w:rsid w:val="00E625F0"/>
    <w:rsid w:val="00E71127"/>
    <w:rsid w:val="00E71702"/>
    <w:rsid w:val="00E71E3B"/>
    <w:rsid w:val="00E72245"/>
    <w:rsid w:val="00E91631"/>
    <w:rsid w:val="00E92661"/>
    <w:rsid w:val="00E94819"/>
    <w:rsid w:val="00E94935"/>
    <w:rsid w:val="00E94B49"/>
    <w:rsid w:val="00EA12D2"/>
    <w:rsid w:val="00EA5F65"/>
    <w:rsid w:val="00EB22FD"/>
    <w:rsid w:val="00EB4BED"/>
    <w:rsid w:val="00EB5499"/>
    <w:rsid w:val="00EC114E"/>
    <w:rsid w:val="00EE0889"/>
    <w:rsid w:val="00EF656C"/>
    <w:rsid w:val="00F1401A"/>
    <w:rsid w:val="00F14C1E"/>
    <w:rsid w:val="00F14D27"/>
    <w:rsid w:val="00F15D99"/>
    <w:rsid w:val="00F37130"/>
    <w:rsid w:val="00F44678"/>
    <w:rsid w:val="00F44F7F"/>
    <w:rsid w:val="00F51D72"/>
    <w:rsid w:val="00F55B77"/>
    <w:rsid w:val="00F560B7"/>
    <w:rsid w:val="00F60F8E"/>
    <w:rsid w:val="00F7245C"/>
    <w:rsid w:val="00F91E2C"/>
    <w:rsid w:val="00FA02B7"/>
    <w:rsid w:val="00FA3CD4"/>
    <w:rsid w:val="00FB2A15"/>
    <w:rsid w:val="00FB43F0"/>
    <w:rsid w:val="00FB5D32"/>
    <w:rsid w:val="00FD41DF"/>
    <w:rsid w:val="00FD4C13"/>
    <w:rsid w:val="00FD69AD"/>
    <w:rsid w:val="00FF5C2A"/>
    <w:rsid w:val="00FF63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F7E65"/>
  <w15:docId w15:val="{4BC3F377-2B51-4A74-A3AF-019B2B23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ED"/>
  </w:style>
  <w:style w:type="paragraph" w:styleId="Heading1">
    <w:name w:val="heading 1"/>
    <w:basedOn w:val="Normal"/>
    <w:next w:val="Normal"/>
    <w:link w:val="Heading1Char"/>
    <w:uiPriority w:val="9"/>
    <w:qFormat/>
    <w:rsid w:val="008A2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A4FFB"/>
    <w:pPr>
      <w:keepNext/>
      <w:keepLines/>
      <w:spacing w:before="120" w:after="120"/>
      <w:outlineLvl w:val="1"/>
    </w:pPr>
    <w:rPr>
      <w:rFonts w:ascii="Times New Roman" w:eastAsiaTheme="majorEastAsia" w:hAnsi="Times New Roman" w:cstheme="majorBidi"/>
      <w:b/>
      <w:bCs/>
      <w:sz w:val="20"/>
      <w:szCs w:val="26"/>
    </w:rPr>
  </w:style>
  <w:style w:type="paragraph" w:styleId="Heading3">
    <w:name w:val="heading 3"/>
    <w:basedOn w:val="Normal"/>
    <w:link w:val="Heading3Char"/>
    <w:uiPriority w:val="1"/>
    <w:qFormat/>
    <w:rsid w:val="00EB4BED"/>
    <w:pPr>
      <w:spacing w:before="100" w:beforeAutospacing="1" w:after="100" w:afterAutospacing="1" w:line="240" w:lineRule="auto"/>
      <w:outlineLvl w:val="2"/>
    </w:pPr>
    <w:rPr>
      <w:rFonts w:ascii="Arial" w:eastAsia="Arial Unicode MS"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NumberChar">
    <w:name w:val="List Number Char"/>
    <w:link w:val="ListNumber"/>
    <w:rsid w:val="00246B89"/>
    <w:rPr>
      <w:rFonts w:ascii="Arial" w:hAnsi="Arial"/>
      <w:color w:val="000000"/>
      <w:szCs w:val="24"/>
    </w:rPr>
  </w:style>
  <w:style w:type="paragraph" w:styleId="ListNumber">
    <w:name w:val="List Number"/>
    <w:basedOn w:val="Normal"/>
    <w:link w:val="ListNumberChar"/>
    <w:rsid w:val="00246B89"/>
    <w:pPr>
      <w:numPr>
        <w:numId w:val="1"/>
      </w:numPr>
      <w:spacing w:after="0" w:line="240" w:lineRule="auto"/>
    </w:pPr>
    <w:rPr>
      <w:rFonts w:ascii="Arial" w:hAnsi="Arial"/>
      <w:color w:val="000000"/>
      <w:szCs w:val="24"/>
    </w:rPr>
  </w:style>
  <w:style w:type="character" w:customStyle="1" w:styleId="Heading3Char">
    <w:name w:val="Heading 3 Char"/>
    <w:basedOn w:val="DefaultParagraphFont"/>
    <w:link w:val="Heading3"/>
    <w:uiPriority w:val="1"/>
    <w:rsid w:val="00EB4BED"/>
    <w:rPr>
      <w:rFonts w:ascii="Arial" w:eastAsia="Arial Unicode MS" w:hAnsi="Arial" w:cs="Arial"/>
      <w:b/>
      <w:bCs/>
      <w:sz w:val="32"/>
      <w:szCs w:val="32"/>
      <w:lang w:val="en-US"/>
    </w:rPr>
  </w:style>
  <w:style w:type="paragraph" w:styleId="ListParagraph">
    <w:name w:val="List Paragraph"/>
    <w:basedOn w:val="Normal"/>
    <w:link w:val="ListParagraphChar"/>
    <w:uiPriority w:val="34"/>
    <w:qFormat/>
    <w:rsid w:val="00EB4BED"/>
    <w:pPr>
      <w:ind w:left="720"/>
      <w:contextualSpacing/>
    </w:pPr>
  </w:style>
  <w:style w:type="character" w:styleId="Hyperlink">
    <w:name w:val="Hyperlink"/>
    <w:uiPriority w:val="99"/>
    <w:rsid w:val="00EB4BED"/>
    <w:rPr>
      <w:color w:val="FF0000"/>
      <w:u w:val="single"/>
    </w:rPr>
  </w:style>
  <w:style w:type="paragraph" w:styleId="Header">
    <w:name w:val="header"/>
    <w:basedOn w:val="Normal"/>
    <w:link w:val="HeaderChar"/>
    <w:unhideWhenUsed/>
    <w:rsid w:val="00EB4BED"/>
    <w:pPr>
      <w:tabs>
        <w:tab w:val="center" w:pos="4513"/>
        <w:tab w:val="right" w:pos="9026"/>
      </w:tabs>
      <w:spacing w:after="0" w:line="240" w:lineRule="auto"/>
    </w:pPr>
  </w:style>
  <w:style w:type="character" w:customStyle="1" w:styleId="HeaderChar">
    <w:name w:val="Header Char"/>
    <w:basedOn w:val="DefaultParagraphFont"/>
    <w:link w:val="Header"/>
    <w:rsid w:val="00EB4BED"/>
  </w:style>
  <w:style w:type="paragraph" w:styleId="Footer">
    <w:name w:val="footer"/>
    <w:basedOn w:val="Normal"/>
    <w:link w:val="FooterChar"/>
    <w:uiPriority w:val="99"/>
    <w:unhideWhenUsed/>
    <w:rsid w:val="00EB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BED"/>
  </w:style>
  <w:style w:type="character" w:styleId="FollowedHyperlink">
    <w:name w:val="FollowedHyperlink"/>
    <w:basedOn w:val="DefaultParagraphFont"/>
    <w:uiPriority w:val="99"/>
    <w:semiHidden/>
    <w:unhideWhenUsed/>
    <w:rsid w:val="00EB4BED"/>
    <w:rPr>
      <w:color w:val="800080" w:themeColor="followedHyperlink"/>
      <w:u w:val="single"/>
    </w:rPr>
  </w:style>
  <w:style w:type="paragraph" w:styleId="BalloonText">
    <w:name w:val="Balloon Text"/>
    <w:basedOn w:val="Normal"/>
    <w:link w:val="BalloonTextChar"/>
    <w:unhideWhenUsed/>
    <w:rsid w:val="00EB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4BED"/>
    <w:rPr>
      <w:rFonts w:ascii="Tahoma" w:hAnsi="Tahoma" w:cs="Tahoma"/>
      <w:sz w:val="16"/>
      <w:szCs w:val="16"/>
    </w:rPr>
  </w:style>
  <w:style w:type="paragraph" w:styleId="FootnoteText">
    <w:name w:val="footnote text"/>
    <w:basedOn w:val="Normal"/>
    <w:link w:val="FootnoteTextChar"/>
    <w:uiPriority w:val="99"/>
    <w:unhideWhenUsed/>
    <w:rsid w:val="00EB4BED"/>
    <w:pPr>
      <w:spacing w:after="120" w:line="240" w:lineRule="auto"/>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uiPriority w:val="99"/>
    <w:rsid w:val="00EB4BED"/>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EB4BED"/>
    <w:rPr>
      <w:vertAlign w:val="superscript"/>
    </w:rPr>
  </w:style>
  <w:style w:type="paragraph" w:customStyle="1" w:styleId="IASBNormal">
    <w:name w:val="IASB Normal"/>
    <w:rsid w:val="00EB4BED"/>
    <w:pPr>
      <w:spacing w:before="100" w:after="100" w:line="240" w:lineRule="auto"/>
      <w:jc w:val="both"/>
    </w:pPr>
    <w:rPr>
      <w:rFonts w:ascii="Times New Roman" w:eastAsia="Times New Roman" w:hAnsi="Times New Roman" w:cs="Times New Roman"/>
      <w:sz w:val="19"/>
      <w:szCs w:val="20"/>
      <w:lang w:eastAsia="en-GB"/>
    </w:rPr>
  </w:style>
  <w:style w:type="table" w:styleId="TableGrid">
    <w:name w:val="Table Grid"/>
    <w:basedOn w:val="TableNormal"/>
    <w:rsid w:val="00EB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TOCPrimaryTitle">
    <w:name w:val="IASB TOC Primary Title"/>
    <w:basedOn w:val="Normal"/>
    <w:rsid w:val="00EB4BED"/>
    <w:pPr>
      <w:spacing w:before="30" w:after="30" w:line="240" w:lineRule="auto"/>
    </w:pPr>
    <w:rPr>
      <w:rFonts w:ascii="Arial" w:eastAsia="Times New Roman" w:hAnsi="Arial" w:cs="Arial"/>
      <w:b/>
      <w:caps/>
      <w:szCs w:val="20"/>
      <w:lang w:eastAsia="en-GB"/>
    </w:rPr>
  </w:style>
  <w:style w:type="paragraph" w:customStyle="1" w:styleId="IASBTOCSecondary">
    <w:name w:val="IASB TOC Secondary"/>
    <w:basedOn w:val="Normal"/>
    <w:rsid w:val="00EB4BED"/>
    <w:pPr>
      <w:spacing w:before="30" w:after="30" w:line="240" w:lineRule="auto"/>
    </w:pPr>
    <w:rPr>
      <w:rFonts w:ascii="Arial" w:eastAsia="Times New Roman" w:hAnsi="Arial" w:cs="Arial"/>
      <w:b/>
      <w:sz w:val="19"/>
      <w:szCs w:val="20"/>
      <w:lang w:eastAsia="en-GB"/>
    </w:rPr>
  </w:style>
  <w:style w:type="paragraph" w:customStyle="1" w:styleId="IASBTOCAppendix">
    <w:name w:val="IASB TOC Appendix"/>
    <w:basedOn w:val="Normal"/>
    <w:rsid w:val="00EB4BED"/>
    <w:pPr>
      <w:spacing w:before="30" w:after="30" w:line="240" w:lineRule="auto"/>
    </w:pPr>
    <w:rPr>
      <w:rFonts w:ascii="Arial" w:eastAsia="Times New Roman" w:hAnsi="Arial" w:cs="Arial"/>
      <w:b/>
      <w:sz w:val="19"/>
      <w:szCs w:val="20"/>
      <w:lang w:eastAsia="en-GB"/>
    </w:rPr>
  </w:style>
  <w:style w:type="table" w:customStyle="1" w:styleId="IASBTocTable">
    <w:name w:val="IASB Toc Table"/>
    <w:rsid w:val="00EB4BED"/>
    <w:pPr>
      <w:spacing w:after="0" w:line="240" w:lineRule="auto"/>
    </w:pPr>
    <w:rPr>
      <w:rFonts w:ascii="Times New Roman" w:eastAsia="Times New Roman" w:hAnsi="Times New Roman" w:cs="Times New Roman"/>
      <w:sz w:val="20"/>
      <w:szCs w:val="20"/>
      <w:lang w:eastAsia="en-GB"/>
    </w:rPr>
    <w:tblPr>
      <w:tblCellMar>
        <w:top w:w="10" w:type="dxa"/>
        <w:left w:w="0" w:type="dxa"/>
        <w:bottom w:w="5" w:type="dxa"/>
        <w:right w:w="0" w:type="dxa"/>
      </w:tblCellMar>
    </w:tblPr>
  </w:style>
  <w:style w:type="paragraph" w:customStyle="1" w:styleId="Boardpaperlevel2">
    <w:name w:val="Board paper level 2"/>
    <w:basedOn w:val="Normal"/>
    <w:link w:val="Boardpaperlevel2Char"/>
    <w:qFormat/>
    <w:rsid w:val="00EB4BED"/>
    <w:pPr>
      <w:numPr>
        <w:ilvl w:val="1"/>
        <w:numId w:val="2"/>
      </w:numPr>
      <w:spacing w:after="120" w:line="360" w:lineRule="auto"/>
      <w:ind w:right="284"/>
    </w:pPr>
    <w:rPr>
      <w:rFonts w:ascii="Times New Roman" w:eastAsia="Times New Roman" w:hAnsi="Times New Roman" w:cs="Times New Roman"/>
      <w:sz w:val="24"/>
      <w:szCs w:val="24"/>
    </w:rPr>
  </w:style>
  <w:style w:type="paragraph" w:customStyle="1" w:styleId="Boardpaperlevel3">
    <w:name w:val="Board paper level 3"/>
    <w:basedOn w:val="Normal"/>
    <w:qFormat/>
    <w:rsid w:val="00EB4BED"/>
    <w:pPr>
      <w:numPr>
        <w:ilvl w:val="2"/>
        <w:numId w:val="2"/>
      </w:numPr>
      <w:spacing w:after="120" w:line="312" w:lineRule="auto"/>
      <w:ind w:right="851"/>
    </w:pPr>
    <w:rPr>
      <w:rFonts w:ascii="Times New Roman" w:eastAsia="Times New Roman" w:hAnsi="Times New Roman" w:cs="Times New Roman"/>
      <w:sz w:val="24"/>
      <w:szCs w:val="24"/>
    </w:rPr>
  </w:style>
  <w:style w:type="paragraph" w:customStyle="1" w:styleId="Normalboardtext">
    <w:name w:val="Normal board text"/>
    <w:basedOn w:val="Normal"/>
    <w:link w:val="NormalboardtextCharChar"/>
    <w:rsid w:val="00EB4BED"/>
    <w:pPr>
      <w:numPr>
        <w:numId w:val="2"/>
      </w:numPr>
      <w:spacing w:before="120" w:after="120" w:line="360" w:lineRule="auto"/>
      <w:outlineLvl w:val="0"/>
    </w:pPr>
    <w:rPr>
      <w:rFonts w:ascii="Times New Roman" w:eastAsia="Times New Roman" w:hAnsi="Times New Roman" w:cs="Times New Roman"/>
      <w:sz w:val="24"/>
      <w:szCs w:val="24"/>
    </w:rPr>
  </w:style>
  <w:style w:type="character" w:customStyle="1" w:styleId="NormalboardtextCharChar">
    <w:name w:val="Normal board text Char Char"/>
    <w:basedOn w:val="DefaultParagraphFont"/>
    <w:link w:val="Normalboardtext"/>
    <w:rsid w:val="00EB4BED"/>
    <w:rPr>
      <w:rFonts w:ascii="Times New Roman" w:eastAsia="Times New Roman" w:hAnsi="Times New Roman" w:cs="Times New Roman"/>
      <w:sz w:val="24"/>
      <w:szCs w:val="24"/>
    </w:rPr>
  </w:style>
  <w:style w:type="character" w:styleId="CommentReference">
    <w:name w:val="annotation reference"/>
    <w:basedOn w:val="DefaultParagraphFont"/>
    <w:unhideWhenUsed/>
    <w:rsid w:val="00EB4BED"/>
    <w:rPr>
      <w:sz w:val="16"/>
      <w:szCs w:val="16"/>
    </w:rPr>
  </w:style>
  <w:style w:type="paragraph" w:styleId="CommentText">
    <w:name w:val="annotation text"/>
    <w:basedOn w:val="Normal"/>
    <w:link w:val="CommentTextChar"/>
    <w:unhideWhenUsed/>
    <w:rsid w:val="00EB4BED"/>
    <w:pPr>
      <w:spacing w:line="240" w:lineRule="auto"/>
    </w:pPr>
    <w:rPr>
      <w:sz w:val="20"/>
      <w:szCs w:val="20"/>
    </w:rPr>
  </w:style>
  <w:style w:type="character" w:customStyle="1" w:styleId="CommentTextChar">
    <w:name w:val="Comment Text Char"/>
    <w:basedOn w:val="DefaultParagraphFont"/>
    <w:link w:val="CommentText"/>
    <w:rsid w:val="00EB4BED"/>
    <w:rPr>
      <w:sz w:val="20"/>
      <w:szCs w:val="20"/>
    </w:rPr>
  </w:style>
  <w:style w:type="paragraph" w:styleId="EndnoteText">
    <w:name w:val="endnote text"/>
    <w:basedOn w:val="Normal"/>
    <w:link w:val="EndnoteTextChar"/>
    <w:uiPriority w:val="99"/>
    <w:semiHidden/>
    <w:unhideWhenUsed/>
    <w:rsid w:val="00EB4B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BED"/>
    <w:rPr>
      <w:sz w:val="20"/>
      <w:szCs w:val="20"/>
    </w:rPr>
  </w:style>
  <w:style w:type="character" w:styleId="EndnoteReference">
    <w:name w:val="endnote reference"/>
    <w:basedOn w:val="DefaultParagraphFont"/>
    <w:uiPriority w:val="99"/>
    <w:semiHidden/>
    <w:unhideWhenUsed/>
    <w:rsid w:val="00EB4BED"/>
    <w:rPr>
      <w:vertAlign w:val="superscript"/>
    </w:rPr>
  </w:style>
  <w:style w:type="paragraph" w:customStyle="1" w:styleId="loweralpha">
    <w:name w:val="lower_alpha"/>
    <w:rsid w:val="00EB4BED"/>
    <w:pPr>
      <w:widowControl w:val="0"/>
      <w:tabs>
        <w:tab w:val="left" w:pos="420"/>
      </w:tabs>
      <w:suppressAutoHyphens/>
      <w:autoSpaceDE w:val="0"/>
      <w:autoSpaceDN w:val="0"/>
      <w:adjustRightInd w:val="0"/>
      <w:spacing w:after="120" w:line="200" w:lineRule="atLeast"/>
      <w:ind w:left="420" w:hanging="420"/>
      <w:jc w:val="both"/>
    </w:pPr>
    <w:rPr>
      <w:rFonts w:ascii="Swift LT Pro" w:eastAsia="Times New Roman" w:hAnsi="Swift LT Pro" w:cs="Swift LT Pro"/>
      <w:color w:val="000000"/>
      <w:w w:val="0"/>
      <w:sz w:val="16"/>
      <w:szCs w:val="16"/>
    </w:rPr>
  </w:style>
  <w:style w:type="paragraph" w:customStyle="1" w:styleId="paraallcols">
    <w:name w:val="para_all_cols"/>
    <w:uiPriority w:val="99"/>
    <w:rsid w:val="00EB4BED"/>
    <w:pPr>
      <w:suppressAutoHyphens/>
      <w:autoSpaceDE w:val="0"/>
      <w:autoSpaceDN w:val="0"/>
      <w:adjustRightInd w:val="0"/>
      <w:spacing w:after="120" w:line="200" w:lineRule="atLeast"/>
      <w:jc w:val="both"/>
    </w:pPr>
    <w:rPr>
      <w:rFonts w:ascii="Swift LT Pro" w:eastAsia="Times New Roman" w:hAnsi="Swift LT Pro" w:cs="Swift LT Pro"/>
      <w:color w:val="000000"/>
      <w:w w:val="0"/>
      <w:sz w:val="16"/>
      <w:szCs w:val="16"/>
    </w:rPr>
  </w:style>
  <w:style w:type="paragraph" w:styleId="PlainText">
    <w:name w:val="Plain Text"/>
    <w:basedOn w:val="Normal"/>
    <w:link w:val="PlainTextChar"/>
    <w:uiPriority w:val="99"/>
    <w:unhideWhenUsed/>
    <w:rsid w:val="00EB4B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4BED"/>
    <w:rPr>
      <w:rFonts w:ascii="Calibri" w:eastAsia="Calibri" w:hAnsi="Calibri" w:cs="Times New Roman"/>
      <w:szCs w:val="21"/>
    </w:rPr>
  </w:style>
  <w:style w:type="character" w:styleId="Strong">
    <w:name w:val="Strong"/>
    <w:uiPriority w:val="22"/>
    <w:qFormat/>
    <w:rsid w:val="00EB4BED"/>
    <w:rPr>
      <w:b/>
      <w:bCs/>
    </w:rPr>
  </w:style>
  <w:style w:type="paragraph" w:styleId="CommentSubject">
    <w:name w:val="annotation subject"/>
    <w:basedOn w:val="CommentText"/>
    <w:next w:val="CommentText"/>
    <w:link w:val="CommentSubjectChar"/>
    <w:rsid w:val="00EB4BED"/>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rsid w:val="00EB4BED"/>
    <w:rPr>
      <w:rFonts w:ascii="Times New Roman" w:eastAsia="SimSun" w:hAnsi="Times New Roman" w:cs="Times New Roman"/>
      <w:b/>
      <w:bCs/>
      <w:sz w:val="20"/>
      <w:szCs w:val="20"/>
      <w:lang w:eastAsia="zh-CN"/>
    </w:rPr>
  </w:style>
  <w:style w:type="paragraph" w:styleId="Revision">
    <w:name w:val="Revision"/>
    <w:hidden/>
    <w:uiPriority w:val="99"/>
    <w:semiHidden/>
    <w:rsid w:val="00EB4BED"/>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EB4BE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definition1">
    <w:name w:val="definition1"/>
    <w:basedOn w:val="DefaultParagraphFont"/>
    <w:rsid w:val="00EB4BED"/>
    <w:rPr>
      <w:color w:val="666666"/>
    </w:rPr>
  </w:style>
  <w:style w:type="paragraph" w:customStyle="1" w:styleId="Standardbodyheading">
    <w:name w:val="Standardbody_heading"/>
    <w:rsid w:val="00EB4BED"/>
    <w:pPr>
      <w:keepNext/>
      <w:pageBreakBefore/>
      <w:suppressAutoHyphens/>
      <w:autoSpaceDE w:val="0"/>
      <w:autoSpaceDN w:val="0"/>
      <w:adjustRightInd w:val="0"/>
      <w:spacing w:after="240" w:line="280" w:lineRule="atLeast"/>
    </w:pPr>
    <w:rPr>
      <w:rFonts w:ascii="Helvetica LT Std" w:eastAsia="Times New Roman" w:hAnsi="Helvetica LT Std" w:cs="Helvetica LT Std"/>
      <w:b/>
      <w:bCs/>
      <w:color w:val="000000"/>
      <w:w w:val="0"/>
      <w:sz w:val="24"/>
      <w:szCs w:val="24"/>
      <w:lang w:eastAsia="en-GB"/>
    </w:rPr>
  </w:style>
  <w:style w:type="character" w:customStyle="1" w:styleId="boldemp">
    <w:name w:val="bold_emp"/>
    <w:uiPriority w:val="99"/>
    <w:rsid w:val="00EB4BED"/>
    <w:rPr>
      <w:rFonts w:ascii="Times New Roman" w:hAnsi="Times New Roman" w:cs="Times New Roman"/>
      <w:b/>
      <w:bCs/>
      <w:i/>
      <w:iCs/>
      <w:color w:val="000000"/>
      <w:spacing w:val="0"/>
      <w:w w:val="100"/>
      <w:sz w:val="17"/>
      <w:szCs w:val="17"/>
      <w:u w:val="none"/>
      <w:vertAlign w:val="baseline"/>
      <w:lang w:val="en-GB"/>
    </w:rPr>
  </w:style>
  <w:style w:type="character" w:styleId="Emphasis">
    <w:name w:val="Emphasis"/>
    <w:uiPriority w:val="20"/>
    <w:qFormat/>
    <w:rsid w:val="00EB4BED"/>
    <w:rPr>
      <w:i/>
      <w:iCs/>
    </w:rPr>
  </w:style>
  <w:style w:type="character" w:customStyle="1" w:styleId="ListParagraphChar">
    <w:name w:val="List Paragraph Char"/>
    <w:basedOn w:val="DefaultParagraphFont"/>
    <w:link w:val="ListParagraph"/>
    <w:uiPriority w:val="34"/>
    <w:locked/>
    <w:rsid w:val="008051E3"/>
  </w:style>
  <w:style w:type="character" w:customStyle="1" w:styleId="Heading1Char">
    <w:name w:val="Heading 1 Char"/>
    <w:basedOn w:val="DefaultParagraphFont"/>
    <w:link w:val="Heading1"/>
    <w:rsid w:val="008A2698"/>
    <w:rPr>
      <w:rFonts w:asciiTheme="majorHAnsi" w:eastAsiaTheme="majorEastAsia" w:hAnsiTheme="majorHAnsi" w:cstheme="majorBidi"/>
      <w:b/>
      <w:bCs/>
      <w:color w:val="365F91" w:themeColor="accent1" w:themeShade="BF"/>
      <w:sz w:val="28"/>
      <w:szCs w:val="28"/>
    </w:rPr>
  </w:style>
  <w:style w:type="paragraph" w:customStyle="1" w:styleId="IASBmeetingname">
    <w:name w:val="IASB meeting name"/>
    <w:link w:val="IASBmeetingnameChar"/>
    <w:autoRedefine/>
    <w:rsid w:val="00340F49"/>
    <w:pPr>
      <w:framePr w:wrap="around" w:vAnchor="text" w:hAnchor="text" w:xAlign="center" w:y="1"/>
      <w:spacing w:before="60" w:after="120" w:line="240" w:lineRule="auto"/>
      <w:suppressOverlap/>
    </w:pPr>
    <w:rPr>
      <w:rFonts w:ascii="Arial" w:eastAsia="Times New Roman" w:hAnsi="Arial" w:cs="Arial"/>
      <w:b/>
      <w:color w:val="000000" w:themeColor="text1"/>
      <w:sz w:val="24"/>
      <w:szCs w:val="24"/>
    </w:rPr>
  </w:style>
  <w:style w:type="character" w:customStyle="1" w:styleId="IASBmeetingnameChar">
    <w:name w:val="IASB meeting name Char"/>
    <w:basedOn w:val="DefaultParagraphFont"/>
    <w:link w:val="IASBmeetingname"/>
    <w:rsid w:val="00340F49"/>
    <w:rPr>
      <w:rFonts w:ascii="Arial" w:eastAsia="Times New Roman" w:hAnsi="Arial" w:cs="Arial"/>
      <w:b/>
      <w:color w:val="000000" w:themeColor="text1"/>
      <w:sz w:val="24"/>
      <w:szCs w:val="24"/>
    </w:rPr>
  </w:style>
  <w:style w:type="paragraph" w:customStyle="1" w:styleId="IASBTableHeader">
    <w:name w:val="IASB Table Header"/>
    <w:basedOn w:val="IASBmeetingname"/>
    <w:link w:val="IASBTableHeaderChar"/>
    <w:qFormat/>
    <w:rsid w:val="008A2698"/>
    <w:pPr>
      <w:framePr w:wrap="around"/>
      <w:jc w:val="right"/>
    </w:pPr>
    <w:rPr>
      <w:b w:val="0"/>
    </w:rPr>
  </w:style>
  <w:style w:type="character" w:customStyle="1" w:styleId="IASBTableHeaderChar">
    <w:name w:val="IASB Table Header Char"/>
    <w:basedOn w:val="IASBmeetingnameChar"/>
    <w:link w:val="IASBTableHeader"/>
    <w:rsid w:val="008A2698"/>
    <w:rPr>
      <w:rFonts w:ascii="Arial" w:eastAsia="Times New Roman" w:hAnsi="Arial" w:cs="Arial"/>
      <w:b w:val="0"/>
      <w:color w:val="404040" w:themeColor="text1" w:themeTint="BF"/>
      <w:sz w:val="24"/>
      <w:szCs w:val="24"/>
    </w:rPr>
  </w:style>
  <w:style w:type="paragraph" w:customStyle="1" w:styleId="IASBTableHeaderBold">
    <w:name w:val="IASB Table Header Bold"/>
    <w:basedOn w:val="IASBTableHeader"/>
    <w:link w:val="IASBTableHeaderBoldChar"/>
    <w:autoRedefine/>
    <w:qFormat/>
    <w:rsid w:val="008A2698"/>
    <w:pPr>
      <w:framePr w:wrap="around"/>
    </w:pPr>
    <w:rPr>
      <w:b/>
    </w:rPr>
  </w:style>
  <w:style w:type="character" w:customStyle="1" w:styleId="IASBTableHeaderBoldChar">
    <w:name w:val="IASB Table Header Bold Char"/>
    <w:basedOn w:val="IASBTableHeaderChar"/>
    <w:link w:val="IASBTableHeaderBold"/>
    <w:rsid w:val="008A2698"/>
    <w:rPr>
      <w:rFonts w:ascii="Arial" w:eastAsia="Times New Roman" w:hAnsi="Arial" w:cs="Arial"/>
      <w:b/>
      <w:color w:val="404040" w:themeColor="text1" w:themeTint="BF"/>
      <w:sz w:val="24"/>
      <w:szCs w:val="24"/>
    </w:rPr>
  </w:style>
  <w:style w:type="paragraph" w:customStyle="1" w:styleId="IASBDocType">
    <w:name w:val="IASB Doc Type"/>
    <w:basedOn w:val="IASBmeetingname"/>
    <w:link w:val="IASBDocTypeChar"/>
    <w:qFormat/>
    <w:rsid w:val="008A2698"/>
    <w:pPr>
      <w:framePr w:wrap="around"/>
      <w:tabs>
        <w:tab w:val="left" w:pos="3812"/>
      </w:tabs>
      <w:spacing w:before="120"/>
      <w:ind w:left="-142"/>
    </w:pPr>
    <w:rPr>
      <w:color w:val="BFBFBF"/>
      <w:sz w:val="44"/>
      <w:szCs w:val="44"/>
    </w:rPr>
  </w:style>
  <w:style w:type="character" w:customStyle="1" w:styleId="IASBDocTypeChar">
    <w:name w:val="IASB Doc Type Char"/>
    <w:basedOn w:val="IASBmeetingnameChar"/>
    <w:link w:val="IASBDocType"/>
    <w:rsid w:val="008A2698"/>
    <w:rPr>
      <w:rFonts w:ascii="Arial" w:eastAsia="Times New Roman" w:hAnsi="Arial" w:cs="Arial"/>
      <w:b/>
      <w:color w:val="BFBFBF"/>
      <w:sz w:val="44"/>
      <w:szCs w:val="44"/>
    </w:rPr>
  </w:style>
  <w:style w:type="paragraph" w:customStyle="1" w:styleId="IASBTableHeaderContact">
    <w:name w:val="IASB Table Header Contact"/>
    <w:basedOn w:val="Normal"/>
    <w:link w:val="IASBTableHeaderContactChar"/>
    <w:qFormat/>
    <w:rsid w:val="008A2698"/>
    <w:pPr>
      <w:framePr w:hSpace="180" w:wrap="around" w:vAnchor="text" w:hAnchor="text" w:x="57" w:y="1"/>
      <w:spacing w:before="120" w:after="0" w:line="240" w:lineRule="auto"/>
      <w:ind w:right="170"/>
      <w:suppressOverlap/>
      <w:outlineLvl w:val="0"/>
    </w:pPr>
    <w:rPr>
      <w:rFonts w:ascii="Arial" w:eastAsia="Times New Roman" w:hAnsi="Arial" w:cs="Arial"/>
      <w:color w:val="404040"/>
      <w:sz w:val="18"/>
      <w:szCs w:val="18"/>
    </w:rPr>
  </w:style>
  <w:style w:type="paragraph" w:customStyle="1" w:styleId="IASBTableHeaderContact2">
    <w:name w:val="IASB Table Header Contact2"/>
    <w:basedOn w:val="Normal"/>
    <w:link w:val="IASBTableHeaderContact2Char"/>
    <w:qFormat/>
    <w:rsid w:val="008A2698"/>
    <w:pPr>
      <w:framePr w:hSpace="180" w:wrap="around" w:vAnchor="text" w:hAnchor="text" w:x="57" w:y="1"/>
      <w:spacing w:before="60" w:after="0" w:line="240" w:lineRule="auto"/>
      <w:suppressOverlap/>
    </w:pPr>
    <w:rPr>
      <w:rFonts w:ascii="Arial" w:eastAsia="Times New Roman" w:hAnsi="Arial" w:cs="Arial"/>
      <w:bCs/>
      <w:color w:val="404040"/>
      <w:kern w:val="32"/>
      <w:sz w:val="18"/>
      <w:szCs w:val="18"/>
    </w:rPr>
  </w:style>
  <w:style w:type="character" w:customStyle="1" w:styleId="IASBTableHeaderContactChar">
    <w:name w:val="IASB Table Header Contact Char"/>
    <w:basedOn w:val="DefaultParagraphFont"/>
    <w:link w:val="IASBTableHeaderContact"/>
    <w:rsid w:val="008A2698"/>
    <w:rPr>
      <w:rFonts w:ascii="Arial" w:eastAsia="Times New Roman" w:hAnsi="Arial" w:cs="Arial"/>
      <w:color w:val="404040"/>
      <w:sz w:val="18"/>
      <w:szCs w:val="18"/>
    </w:rPr>
  </w:style>
  <w:style w:type="character" w:customStyle="1" w:styleId="IASBTableHeaderContact2Char">
    <w:name w:val="IASB Table Header Contact2 Char"/>
    <w:basedOn w:val="DefaultParagraphFont"/>
    <w:link w:val="IASBTableHeaderContact2"/>
    <w:rsid w:val="008A2698"/>
    <w:rPr>
      <w:rFonts w:ascii="Arial" w:eastAsia="Times New Roman" w:hAnsi="Arial" w:cs="Arial"/>
      <w:bCs/>
      <w:color w:val="404040"/>
      <w:kern w:val="32"/>
      <w:sz w:val="18"/>
      <w:szCs w:val="18"/>
    </w:rPr>
  </w:style>
  <w:style w:type="paragraph" w:customStyle="1" w:styleId="boardpapercontact">
    <w:name w:val="board paper contact"/>
    <w:basedOn w:val="Normal"/>
    <w:rsid w:val="008A2698"/>
    <w:pPr>
      <w:spacing w:after="0" w:line="240" w:lineRule="auto"/>
      <w:ind w:left="72"/>
      <w:outlineLvl w:val="0"/>
    </w:pPr>
    <w:rPr>
      <w:rFonts w:ascii="Arial" w:eastAsia="Times New Roman" w:hAnsi="Arial" w:cs="Arial"/>
      <w:sz w:val="18"/>
      <w:szCs w:val="18"/>
      <w:lang w:val="sv-SE" w:eastAsia="en-GB"/>
    </w:rPr>
  </w:style>
  <w:style w:type="paragraph" w:customStyle="1" w:styleId="boardpaperfooter">
    <w:name w:val="boardpaperfooter"/>
    <w:rsid w:val="00E30E3F"/>
    <w:pPr>
      <w:spacing w:before="60" w:after="60" w:line="240" w:lineRule="auto"/>
      <w:ind w:right="-142"/>
    </w:pPr>
    <w:rPr>
      <w:rFonts w:ascii="Times New Roman" w:eastAsia="Times New Roman" w:hAnsi="Times New Roman" w:cs="Arial"/>
      <w:sz w:val="14"/>
      <w:szCs w:val="16"/>
      <w:lang w:val="en-US" w:eastAsia="en-GB"/>
    </w:rPr>
  </w:style>
  <w:style w:type="paragraph" w:customStyle="1" w:styleId="IASBFooter">
    <w:name w:val="IASB Footer"/>
    <w:basedOn w:val="Footer"/>
    <w:link w:val="IASBFooterChar"/>
    <w:qFormat/>
    <w:rsid w:val="00357127"/>
    <w:pPr>
      <w:spacing w:before="120"/>
      <w:jc w:val="right"/>
    </w:pPr>
    <w:rPr>
      <w:rFonts w:ascii="Arial" w:hAnsi="Arial" w:cs="Arial"/>
      <w:bCs/>
      <w:color w:val="595959" w:themeColor="text1" w:themeTint="A6"/>
      <w:sz w:val="18"/>
      <w:szCs w:val="18"/>
    </w:rPr>
  </w:style>
  <w:style w:type="character" w:customStyle="1" w:styleId="IASBFooterChar">
    <w:name w:val="IASB Footer Char"/>
    <w:basedOn w:val="FooterChar"/>
    <w:link w:val="IASBFooter"/>
    <w:rsid w:val="00357127"/>
    <w:rPr>
      <w:rFonts w:ascii="Arial" w:hAnsi="Arial" w:cs="Arial"/>
      <w:bCs/>
      <w:color w:val="595959" w:themeColor="text1" w:themeTint="A6"/>
      <w:sz w:val="18"/>
      <w:szCs w:val="18"/>
    </w:rPr>
  </w:style>
  <w:style w:type="character" w:customStyle="1" w:styleId="Heading2Char">
    <w:name w:val="Heading 2 Char"/>
    <w:basedOn w:val="DefaultParagraphFont"/>
    <w:link w:val="Heading2"/>
    <w:uiPriority w:val="1"/>
    <w:rsid w:val="00BA4FFB"/>
    <w:rPr>
      <w:rFonts w:ascii="Times New Roman" w:eastAsiaTheme="majorEastAsia" w:hAnsi="Times New Roman" w:cstheme="majorBidi"/>
      <w:b/>
      <w:bCs/>
      <w:sz w:val="20"/>
      <w:szCs w:val="26"/>
    </w:rPr>
  </w:style>
  <w:style w:type="paragraph" w:styleId="BodyText">
    <w:name w:val="Body Text"/>
    <w:basedOn w:val="Normal"/>
    <w:link w:val="BodyTextChar"/>
    <w:uiPriority w:val="1"/>
    <w:qFormat/>
    <w:rsid w:val="003122C3"/>
    <w:pPr>
      <w:widowControl w:val="0"/>
      <w:autoSpaceDE w:val="0"/>
      <w:autoSpaceDN w:val="0"/>
      <w:spacing w:after="0" w:line="240" w:lineRule="auto"/>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3122C3"/>
    <w:rPr>
      <w:rFonts w:ascii="Bookman Old Style" w:eastAsia="Bookman Old Style" w:hAnsi="Bookman Old Style" w:cs="Bookman Old Style"/>
      <w:sz w:val="17"/>
      <w:szCs w:val="17"/>
      <w:lang w:val="en-US"/>
    </w:rPr>
  </w:style>
  <w:style w:type="paragraph" w:customStyle="1" w:styleId="TableParagraph">
    <w:name w:val="Table Paragraph"/>
    <w:basedOn w:val="Normal"/>
    <w:uiPriority w:val="1"/>
    <w:qFormat/>
    <w:rsid w:val="009F21A3"/>
    <w:pPr>
      <w:widowControl w:val="0"/>
      <w:autoSpaceDE w:val="0"/>
      <w:autoSpaceDN w:val="0"/>
      <w:spacing w:before="29" w:after="0" w:line="240" w:lineRule="auto"/>
      <w:ind w:left="77"/>
    </w:pPr>
    <w:rPr>
      <w:rFonts w:ascii="Bookman Old Style" w:eastAsia="Bookman Old Style" w:hAnsi="Bookman Old Style" w:cs="Bookman Old Style"/>
      <w:lang w:val="en-US"/>
    </w:rPr>
  </w:style>
  <w:style w:type="paragraph" w:customStyle="1" w:styleId="BoardPaperLevel1">
    <w:name w:val="Board Paper Level 1"/>
    <w:basedOn w:val="ListParagraph"/>
    <w:link w:val="BoardPaperLevel1Char"/>
    <w:qFormat/>
    <w:rsid w:val="009F21A3"/>
    <w:pPr>
      <w:spacing w:before="120" w:after="120" w:line="360" w:lineRule="auto"/>
      <w:ind w:left="0"/>
      <w:contextualSpacing w:val="0"/>
    </w:pPr>
    <w:rPr>
      <w:rFonts w:ascii="Times New Roman" w:hAnsi="Times New Roman"/>
      <w:sz w:val="24"/>
    </w:rPr>
  </w:style>
  <w:style w:type="character" w:customStyle="1" w:styleId="BoardPaperLevel1Char">
    <w:name w:val="Board Paper Level 1 Char"/>
    <w:basedOn w:val="DefaultParagraphFont"/>
    <w:link w:val="BoardPaperLevel1"/>
    <w:rsid w:val="009F21A3"/>
    <w:rPr>
      <w:rFonts w:ascii="Times New Roman" w:hAnsi="Times New Roman"/>
      <w:sz w:val="24"/>
    </w:rPr>
  </w:style>
  <w:style w:type="paragraph" w:styleId="NormalWeb">
    <w:name w:val="Normal (Web)"/>
    <w:basedOn w:val="Normal"/>
    <w:uiPriority w:val="99"/>
    <w:unhideWhenUsed/>
    <w:rsid w:val="009F21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543F8"/>
    <w:pPr>
      <w:spacing w:after="0" w:line="240" w:lineRule="auto"/>
    </w:pPr>
  </w:style>
  <w:style w:type="character" w:customStyle="1" w:styleId="Boardpaperlevel2Char">
    <w:name w:val="Board paper level 2 Char"/>
    <w:basedOn w:val="DefaultParagraphFont"/>
    <w:link w:val="Boardpaperlevel2"/>
    <w:locked/>
    <w:rsid w:val="00183103"/>
    <w:rPr>
      <w:rFonts w:ascii="Times New Roman" w:eastAsia="Times New Roman" w:hAnsi="Times New Roman" w:cs="Times New Roman"/>
      <w:sz w:val="24"/>
      <w:szCs w:val="24"/>
    </w:rPr>
  </w:style>
  <w:style w:type="numbering" w:customStyle="1" w:styleId="Mainnumberingstyle">
    <w:name w:val="Main numbering style"/>
    <w:uiPriority w:val="99"/>
    <w:rsid w:val="0018310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1999">
      <w:bodyDiv w:val="1"/>
      <w:marLeft w:val="0"/>
      <w:marRight w:val="0"/>
      <w:marTop w:val="0"/>
      <w:marBottom w:val="0"/>
      <w:divBdr>
        <w:top w:val="none" w:sz="0" w:space="0" w:color="auto"/>
        <w:left w:val="none" w:sz="0" w:space="0" w:color="auto"/>
        <w:bottom w:val="none" w:sz="0" w:space="0" w:color="auto"/>
        <w:right w:val="none" w:sz="0" w:space="0" w:color="auto"/>
      </w:divBdr>
    </w:div>
    <w:div w:id="1501776316">
      <w:bodyDiv w:val="1"/>
      <w:marLeft w:val="0"/>
      <w:marRight w:val="0"/>
      <w:marTop w:val="0"/>
      <w:marBottom w:val="0"/>
      <w:divBdr>
        <w:top w:val="none" w:sz="0" w:space="0" w:color="auto"/>
        <w:left w:val="none" w:sz="0" w:space="0" w:color="auto"/>
        <w:bottom w:val="none" w:sz="0" w:space="0" w:color="auto"/>
        <w:right w:val="none" w:sz="0" w:space="0" w:color="auto"/>
      </w:divBdr>
    </w:div>
    <w:div w:id="1935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fisher@ifrs.org" TargetMode="External"/><Relationship Id="rId2" Type="http://schemas.openxmlformats.org/officeDocument/2006/relationships/hyperlink" Target="mailto:ppacter@if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a9460e-fef9-4f90-9ace-b874768b1fd1">
      <Terms xmlns="http://schemas.microsoft.com/office/infopath/2007/PartnerControls"/>
    </lcf76f155ced4ddcb4097134ff3c332f>
    <TaxCatchAll xmlns="42dbee49-f00f-4392-8944-72f95e8ad166" xsi:nil="true"/>
    <SharedWithUsers xmlns="42dbee49-f00f-4392-8944-72f95e8ad166">
      <UserInfo>
        <DisplayName>Lloyd, Helen</DisplayName>
        <AccountId>130</AccountId>
        <AccountType/>
      </UserInfo>
      <UserInfo>
        <DisplayName>Hasni, Hazirah</DisplayName>
        <AccountId>122</AccountId>
        <AccountType/>
      </UserInfo>
      <UserInfo>
        <DisplayName>Sansom, Michelle</DisplayName>
        <AccountId>16</AccountId>
        <AccountType/>
      </UserInfo>
      <UserInfo>
        <DisplayName>Ravelli, Roberta</DisplayName>
        <AccountId>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58683D612CFC4CAA1D1D19D2DEE5DE" ma:contentTypeVersion="15" ma:contentTypeDescription="Create a new document." ma:contentTypeScope="" ma:versionID="5ef4a16fb4917ef21c508285de048fb1">
  <xsd:schema xmlns:xsd="http://www.w3.org/2001/XMLSchema" xmlns:xs="http://www.w3.org/2001/XMLSchema" xmlns:p="http://schemas.microsoft.com/office/2006/metadata/properties" xmlns:ns2="e4a9460e-fef9-4f90-9ace-b874768b1fd1" xmlns:ns3="42dbee49-f00f-4392-8944-72f95e8ad166" targetNamespace="http://schemas.microsoft.com/office/2006/metadata/properties" ma:root="true" ma:fieldsID="f1fd58a884ce89dcfbb97ce5e4c72b74" ns2:_="" ns3:_="">
    <xsd:import namespace="e4a9460e-fef9-4f90-9ace-b874768b1fd1"/>
    <xsd:import namespace="42dbee49-f00f-4392-8944-72f95e8ad1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9460e-fef9-4f90-9ace-b874768b1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2f0513-a2ef-49c9-8f64-129a7e7844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bee49-f00f-4392-8944-72f95e8ad1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f4be63-8c47-4c27-a86c-f2525c4b4b15}" ma:internalName="TaxCatchAll" ma:showField="CatchAllData" ma:web="42dbee49-f00f-4392-8944-72f95e8ad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A324B-B469-42E0-AEFF-6674E868F231}">
  <ds:schemaRefs>
    <ds:schemaRef ds:uri="http://schemas.microsoft.com/office/2006/metadata/properties"/>
    <ds:schemaRef ds:uri="http://schemas.microsoft.com/office/infopath/2007/PartnerControls"/>
    <ds:schemaRef ds:uri="e4a9460e-fef9-4f90-9ace-b874768b1fd1"/>
    <ds:schemaRef ds:uri="42dbee49-f00f-4392-8944-72f95e8ad166"/>
  </ds:schemaRefs>
</ds:datastoreItem>
</file>

<file path=customXml/itemProps2.xml><?xml version="1.0" encoding="utf-8"?>
<ds:datastoreItem xmlns:ds="http://schemas.openxmlformats.org/officeDocument/2006/customXml" ds:itemID="{3C0DD386-F311-42B2-A76F-1A2AFE835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9460e-fef9-4f90-9ace-b874768b1fd1"/>
    <ds:schemaRef ds:uri="42dbee49-f00f-4392-8944-72f95e8ad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A2CA5-E207-405A-8A2F-4B7F693A45A7}">
  <ds:schemaRefs>
    <ds:schemaRef ds:uri="http://schemas.openxmlformats.org/officeDocument/2006/bibliography"/>
  </ds:schemaRefs>
</ds:datastoreItem>
</file>

<file path=customXml/itemProps4.xml><?xml version="1.0" encoding="utf-8"?>
<ds:datastoreItem xmlns:ds="http://schemas.openxmlformats.org/officeDocument/2006/customXml" ds:itemID="{4A56FCB0-A987-4C2E-8370-52354A505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IFRS Foundation</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Fisher</dc:creator>
  <cp:keywords/>
  <cp:lastModifiedBy>Hasni, Hazirah</cp:lastModifiedBy>
  <cp:revision>17</cp:revision>
  <cp:lastPrinted>2020-01-16T17:50:00Z</cp:lastPrinted>
  <dcterms:created xsi:type="dcterms:W3CDTF">2022-09-15T01:25:00Z</dcterms:created>
  <dcterms:modified xsi:type="dcterms:W3CDTF">2022-10-20T11:08:00Z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0x0101009758683D612CFC4CAA1D1D19D2DEE5DE</vt:lpwstr>
  </property>
  <property fmtid="{D5CDD505-2E9C-101B-9397-08002B2CF9AE}" pid="3" name="MediaServiceImageTags">
    <vt:lpwstr/>
  </property>
</Properties>
</file>